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81C61" w14:textId="77777777" w:rsidR="00B20CA1" w:rsidRPr="00F85E9B" w:rsidRDefault="00B20CA1" w:rsidP="00B20CA1">
      <w:pPr>
        <w:jc w:val="center"/>
        <w:rPr>
          <w:rFonts w:cs="Arial"/>
          <w:b/>
        </w:rPr>
      </w:pPr>
      <w:r w:rsidRPr="00F85E9B">
        <w:rPr>
          <w:rFonts w:cs="Arial"/>
          <w:b/>
        </w:rPr>
        <w:t>HOME SCORING GUIDELINES</w:t>
      </w:r>
    </w:p>
    <w:p w14:paraId="46A56B43" w14:textId="77777777" w:rsidR="00B20CA1" w:rsidRPr="00F85E9B" w:rsidRDefault="00B20CA1" w:rsidP="00B20CA1">
      <w:pPr>
        <w:jc w:val="center"/>
        <w:rPr>
          <w:rFonts w:cs="Arial"/>
          <w:b/>
        </w:rPr>
      </w:pPr>
    </w:p>
    <w:p w14:paraId="5310C1C1" w14:textId="77777777" w:rsidR="00B20CA1" w:rsidRPr="00F85E9B" w:rsidRDefault="00B20CA1" w:rsidP="00B20CA1">
      <w:pPr>
        <w:jc w:val="center"/>
        <w:rPr>
          <w:rFonts w:cs="Arial"/>
        </w:rPr>
      </w:pPr>
      <w:r w:rsidRPr="00F85E9B">
        <w:rPr>
          <w:rFonts w:cs="Arial"/>
          <w:b/>
        </w:rPr>
        <w:t xml:space="preserve">   </w:t>
      </w:r>
      <w:r w:rsidRPr="00F85E9B">
        <w:rPr>
          <w:rFonts w:cs="Arial"/>
        </w:rPr>
        <w:t>RENTAL WITHOUT TAX CREDITS</w:t>
      </w:r>
    </w:p>
    <w:p w14:paraId="44E5EFD7" w14:textId="77777777" w:rsidR="00B20CA1" w:rsidRPr="00F85E9B" w:rsidRDefault="00B20CA1" w:rsidP="00B20CA1">
      <w:pPr>
        <w:rPr>
          <w:rFonts w:cs="Arial"/>
        </w:rPr>
      </w:pPr>
    </w:p>
    <w:p w14:paraId="442EE612" w14:textId="77777777" w:rsidR="00B20CA1" w:rsidRPr="00F85E9B" w:rsidRDefault="00B20CA1" w:rsidP="00B20CA1">
      <w:pPr>
        <w:rPr>
          <w:rFonts w:cs="Arial"/>
        </w:rPr>
      </w:pPr>
    </w:p>
    <w:p w14:paraId="563D07A5" w14:textId="77777777" w:rsidR="00B20CA1" w:rsidRPr="00F85E9B" w:rsidRDefault="00B20CA1" w:rsidP="00B20CA1">
      <w:pPr>
        <w:jc w:val="both"/>
        <w:rPr>
          <w:rFonts w:cs="Arial"/>
          <w:b/>
        </w:rPr>
      </w:pPr>
      <w:r w:rsidRPr="00F85E9B">
        <w:rPr>
          <w:rFonts w:cs="Arial"/>
          <w:b/>
          <w:u w:val="single"/>
        </w:rPr>
        <w:t>Category 1</w:t>
      </w:r>
      <w:r w:rsidRPr="00F85E9B">
        <w:rPr>
          <w:rFonts w:cs="Arial"/>
          <w:b/>
        </w:rPr>
        <w:t xml:space="preserve"> – Match (0, 3, 6 or 9 points)</w:t>
      </w:r>
    </w:p>
    <w:p w14:paraId="7E5B2D3D" w14:textId="77777777" w:rsidR="00B20CA1" w:rsidRDefault="00B20CA1" w:rsidP="00B20CA1">
      <w:pPr>
        <w:jc w:val="both"/>
        <w:rPr>
          <w:rFonts w:cs="Arial"/>
          <w:b/>
          <w:color w:val="FF0000"/>
        </w:rPr>
      </w:pPr>
      <w:r w:rsidRPr="00F85E9B">
        <w:rPr>
          <w:rFonts w:cs="Arial"/>
        </w:rPr>
        <w:t xml:space="preserve">Points will be awarded if the application lists match for the project and the IFA required form for Exhibit H-33 along with the required supporting documentation are provided.  The total amount of funding designated as match (as approved by IFA) will be divided by the amount of total HOME funds requested. </w:t>
      </w:r>
    </w:p>
    <w:p w14:paraId="0AE3775F" w14:textId="77777777" w:rsidR="00B20CA1" w:rsidRPr="00F85E9B" w:rsidRDefault="00B20CA1" w:rsidP="00B20CA1">
      <w:pPr>
        <w:jc w:val="both"/>
        <w:rPr>
          <w:rFonts w:cs="Arial"/>
        </w:rPr>
      </w:pPr>
    </w:p>
    <w:p w14:paraId="536734E1" w14:textId="77777777" w:rsidR="00B20CA1" w:rsidRPr="00F85E9B" w:rsidRDefault="00B20CA1" w:rsidP="00B20CA1">
      <w:pPr>
        <w:jc w:val="both"/>
        <w:rPr>
          <w:rFonts w:cs="Arial"/>
        </w:rPr>
      </w:pPr>
    </w:p>
    <w:tbl>
      <w:tblPr>
        <w:tblStyle w:val="TableGrid"/>
        <w:tblW w:w="0" w:type="auto"/>
        <w:tblInd w:w="2448" w:type="dxa"/>
        <w:tblLook w:val="04A0" w:firstRow="1" w:lastRow="0" w:firstColumn="1" w:lastColumn="0" w:noHBand="0" w:noVBand="1"/>
      </w:tblPr>
      <w:tblGrid>
        <w:gridCol w:w="4050"/>
        <w:gridCol w:w="1260"/>
      </w:tblGrid>
      <w:tr w:rsidR="00B20CA1" w:rsidRPr="00F85E9B" w14:paraId="0EA7154F" w14:textId="77777777" w:rsidTr="00631D70">
        <w:tc>
          <w:tcPr>
            <w:tcW w:w="4050" w:type="dxa"/>
          </w:tcPr>
          <w:p w14:paraId="39646C83" w14:textId="77777777" w:rsidR="00B20CA1" w:rsidRPr="00F85E9B" w:rsidRDefault="00B20CA1" w:rsidP="00631D70">
            <w:pPr>
              <w:jc w:val="both"/>
              <w:rPr>
                <w:rFonts w:cs="Arial"/>
              </w:rPr>
            </w:pPr>
            <w:r w:rsidRPr="00F85E9B">
              <w:rPr>
                <w:rFonts w:cs="Arial"/>
              </w:rPr>
              <w:t xml:space="preserve">1 </w:t>
            </w:r>
            <w:r>
              <w:rPr>
                <w:rFonts w:cs="Arial"/>
              </w:rPr>
              <w:t>-</w:t>
            </w:r>
            <w:r w:rsidRPr="00F85E9B">
              <w:rPr>
                <w:rFonts w:cs="Arial"/>
              </w:rPr>
              <w:t xml:space="preserve"> </w:t>
            </w:r>
            <w:r>
              <w:rPr>
                <w:rFonts w:cs="Arial"/>
              </w:rPr>
              <w:t>10%</w:t>
            </w:r>
            <w:r w:rsidRPr="00F85E9B">
              <w:rPr>
                <w:rFonts w:cs="Arial"/>
              </w:rPr>
              <w:t xml:space="preserve"> eligible HOME Match</w:t>
            </w:r>
          </w:p>
        </w:tc>
        <w:tc>
          <w:tcPr>
            <w:tcW w:w="1260" w:type="dxa"/>
          </w:tcPr>
          <w:p w14:paraId="5CA3B016" w14:textId="77777777" w:rsidR="00B20CA1" w:rsidRPr="00F85E9B" w:rsidRDefault="00B20CA1" w:rsidP="00631D70">
            <w:pPr>
              <w:jc w:val="both"/>
              <w:rPr>
                <w:rFonts w:cs="Arial"/>
              </w:rPr>
            </w:pPr>
            <w:r w:rsidRPr="00F85E9B">
              <w:rPr>
                <w:rFonts w:cs="Arial"/>
              </w:rPr>
              <w:t xml:space="preserve">  0 points</w:t>
            </w:r>
          </w:p>
        </w:tc>
      </w:tr>
      <w:tr w:rsidR="00B20CA1" w:rsidRPr="00F85E9B" w14:paraId="0BF7DF58" w14:textId="77777777" w:rsidTr="00631D70">
        <w:tc>
          <w:tcPr>
            <w:tcW w:w="4050" w:type="dxa"/>
          </w:tcPr>
          <w:p w14:paraId="3AE93EF5" w14:textId="77777777" w:rsidR="00B20CA1" w:rsidRPr="00F85E9B" w:rsidRDefault="00B20CA1" w:rsidP="00631D70">
            <w:pPr>
              <w:jc w:val="both"/>
              <w:rPr>
                <w:rFonts w:cs="Arial"/>
              </w:rPr>
            </w:pPr>
            <w:r>
              <w:rPr>
                <w:rFonts w:cs="Arial"/>
              </w:rPr>
              <w:t>11 -</w:t>
            </w:r>
            <w:r w:rsidRPr="00F85E9B">
              <w:rPr>
                <w:rFonts w:cs="Arial"/>
              </w:rPr>
              <w:t xml:space="preserve"> </w:t>
            </w:r>
            <w:r>
              <w:rPr>
                <w:rFonts w:cs="Arial"/>
              </w:rPr>
              <w:t>20</w:t>
            </w:r>
            <w:r w:rsidRPr="00F85E9B">
              <w:rPr>
                <w:rFonts w:cs="Arial"/>
              </w:rPr>
              <w:t>% eligible HOME Match</w:t>
            </w:r>
          </w:p>
        </w:tc>
        <w:tc>
          <w:tcPr>
            <w:tcW w:w="1260" w:type="dxa"/>
          </w:tcPr>
          <w:p w14:paraId="21210CE1" w14:textId="77777777" w:rsidR="00B20CA1" w:rsidRPr="00F85E9B" w:rsidRDefault="00B20CA1" w:rsidP="00631D70">
            <w:pPr>
              <w:jc w:val="both"/>
              <w:rPr>
                <w:rFonts w:cs="Arial"/>
              </w:rPr>
            </w:pPr>
            <w:r w:rsidRPr="00F85E9B">
              <w:rPr>
                <w:rFonts w:cs="Arial"/>
              </w:rPr>
              <w:t xml:space="preserve">  3 points</w:t>
            </w:r>
          </w:p>
        </w:tc>
      </w:tr>
      <w:tr w:rsidR="00B20CA1" w:rsidRPr="00F85E9B" w14:paraId="11F8F8F8" w14:textId="77777777" w:rsidTr="00631D70">
        <w:tc>
          <w:tcPr>
            <w:tcW w:w="4050" w:type="dxa"/>
          </w:tcPr>
          <w:p w14:paraId="3F3FF102" w14:textId="77777777" w:rsidR="00B20CA1" w:rsidRPr="00F85E9B" w:rsidRDefault="00B20CA1" w:rsidP="00631D70">
            <w:pPr>
              <w:jc w:val="both"/>
              <w:rPr>
                <w:rFonts w:cs="Arial"/>
              </w:rPr>
            </w:pPr>
            <w:r>
              <w:rPr>
                <w:rFonts w:cs="Arial"/>
              </w:rPr>
              <w:t>21</w:t>
            </w:r>
            <w:r w:rsidRPr="00F85E9B">
              <w:rPr>
                <w:rFonts w:cs="Arial"/>
              </w:rPr>
              <w:t xml:space="preserve"> - </w:t>
            </w:r>
            <w:r>
              <w:rPr>
                <w:rFonts w:cs="Arial"/>
              </w:rPr>
              <w:t>30</w:t>
            </w:r>
            <w:r w:rsidRPr="00F85E9B">
              <w:rPr>
                <w:rFonts w:cs="Arial"/>
              </w:rPr>
              <w:t>% eligible HOME Match</w:t>
            </w:r>
          </w:p>
        </w:tc>
        <w:tc>
          <w:tcPr>
            <w:tcW w:w="1260" w:type="dxa"/>
          </w:tcPr>
          <w:p w14:paraId="130DC2DB" w14:textId="77777777" w:rsidR="00B20CA1" w:rsidRPr="00F85E9B" w:rsidRDefault="00B20CA1" w:rsidP="00631D70">
            <w:pPr>
              <w:jc w:val="both"/>
              <w:rPr>
                <w:rFonts w:cs="Arial"/>
              </w:rPr>
            </w:pPr>
            <w:r w:rsidRPr="00F85E9B">
              <w:rPr>
                <w:rFonts w:cs="Arial"/>
              </w:rPr>
              <w:t xml:space="preserve">  6 points</w:t>
            </w:r>
          </w:p>
        </w:tc>
      </w:tr>
      <w:tr w:rsidR="00B20CA1" w:rsidRPr="00F85E9B" w14:paraId="4C8EDE5A" w14:textId="77777777" w:rsidTr="00631D70">
        <w:tc>
          <w:tcPr>
            <w:tcW w:w="4050" w:type="dxa"/>
          </w:tcPr>
          <w:p w14:paraId="1773F86B" w14:textId="77777777" w:rsidR="00B20CA1" w:rsidRPr="00F85E9B" w:rsidRDefault="00B20CA1" w:rsidP="00631D70">
            <w:pPr>
              <w:jc w:val="both"/>
              <w:rPr>
                <w:rFonts w:cs="Arial"/>
              </w:rPr>
            </w:pPr>
            <w:r>
              <w:rPr>
                <w:rFonts w:cs="Arial"/>
              </w:rPr>
              <w:t>31</w:t>
            </w:r>
            <w:r w:rsidRPr="00F85E9B">
              <w:rPr>
                <w:rFonts w:cs="Arial"/>
              </w:rPr>
              <w:t>% or more eligible HOME Match</w:t>
            </w:r>
          </w:p>
        </w:tc>
        <w:tc>
          <w:tcPr>
            <w:tcW w:w="1260" w:type="dxa"/>
          </w:tcPr>
          <w:p w14:paraId="570DEECC" w14:textId="77777777" w:rsidR="00B20CA1" w:rsidRPr="00F85E9B" w:rsidRDefault="00B20CA1" w:rsidP="00631D70">
            <w:pPr>
              <w:jc w:val="both"/>
              <w:rPr>
                <w:rFonts w:cs="Arial"/>
              </w:rPr>
            </w:pPr>
            <w:r w:rsidRPr="00F85E9B">
              <w:rPr>
                <w:rFonts w:cs="Arial"/>
              </w:rPr>
              <w:t xml:space="preserve">  9 points</w:t>
            </w:r>
          </w:p>
        </w:tc>
      </w:tr>
    </w:tbl>
    <w:p w14:paraId="1FF4FF29" w14:textId="77777777" w:rsidR="00B20CA1" w:rsidRPr="00F85E9B" w:rsidRDefault="00B20CA1" w:rsidP="00B20CA1">
      <w:pPr>
        <w:jc w:val="both"/>
        <w:rPr>
          <w:rFonts w:cs="Arial"/>
        </w:rPr>
      </w:pPr>
    </w:p>
    <w:p w14:paraId="14ED80EB" w14:textId="77777777" w:rsidR="00B20CA1" w:rsidRPr="00F85E9B" w:rsidRDefault="00B20CA1" w:rsidP="00B20CA1">
      <w:pPr>
        <w:jc w:val="both"/>
        <w:rPr>
          <w:rFonts w:cs="Arial"/>
          <w:b/>
        </w:rPr>
      </w:pPr>
      <w:r w:rsidRPr="00F85E9B">
        <w:rPr>
          <w:rFonts w:cs="Arial"/>
          <w:b/>
          <w:u w:val="single"/>
        </w:rPr>
        <w:t>Category 2</w:t>
      </w:r>
      <w:r w:rsidRPr="00F85E9B">
        <w:rPr>
          <w:rFonts w:cs="Arial"/>
          <w:b/>
        </w:rPr>
        <w:t xml:space="preserve"> – Targeted Populations (0 or </w:t>
      </w:r>
      <w:r>
        <w:rPr>
          <w:rFonts w:cs="Arial"/>
          <w:b/>
        </w:rPr>
        <w:t>2</w:t>
      </w:r>
      <w:r w:rsidRPr="00F85E9B">
        <w:rPr>
          <w:rFonts w:cs="Arial"/>
          <w:b/>
        </w:rPr>
        <w:t xml:space="preserve"> points)</w:t>
      </w:r>
    </w:p>
    <w:p w14:paraId="7677739C" w14:textId="77777777" w:rsidR="00B20CA1" w:rsidRPr="00F85E9B" w:rsidRDefault="00B20CA1" w:rsidP="00B20CA1">
      <w:pPr>
        <w:jc w:val="both"/>
        <w:rPr>
          <w:rFonts w:cs="Arial"/>
        </w:rPr>
      </w:pPr>
      <w:r w:rsidRPr="00F85E9B">
        <w:rPr>
          <w:rFonts w:cs="Arial"/>
        </w:rPr>
        <w:t>Points will be awarded for projects targeting one of the populations below:</w:t>
      </w:r>
    </w:p>
    <w:p w14:paraId="5F9B295F" w14:textId="77777777" w:rsidR="00B20CA1" w:rsidRPr="00F85E9B" w:rsidRDefault="00B20CA1" w:rsidP="00B20CA1">
      <w:pPr>
        <w:pStyle w:val="ListParagraph"/>
        <w:numPr>
          <w:ilvl w:val="0"/>
          <w:numId w:val="28"/>
        </w:numPr>
        <w:jc w:val="both"/>
        <w:rPr>
          <w:rFonts w:cs="Arial"/>
        </w:rPr>
      </w:pPr>
      <w:r w:rsidRPr="00F85E9B">
        <w:rPr>
          <w:rFonts w:cs="Arial"/>
        </w:rPr>
        <w:t>Homeless persons, including homeless individuals, families, youth and/or veterans</w:t>
      </w:r>
    </w:p>
    <w:p w14:paraId="5E8F0B89" w14:textId="77777777" w:rsidR="00B20CA1" w:rsidRPr="00F85E9B" w:rsidRDefault="00B20CA1" w:rsidP="00B20CA1">
      <w:pPr>
        <w:pStyle w:val="ListParagraph"/>
        <w:numPr>
          <w:ilvl w:val="0"/>
          <w:numId w:val="28"/>
        </w:numPr>
        <w:jc w:val="both"/>
        <w:rPr>
          <w:rFonts w:cs="Arial"/>
        </w:rPr>
      </w:pPr>
      <w:r w:rsidRPr="00F85E9B">
        <w:rPr>
          <w:rFonts w:cs="Arial"/>
        </w:rPr>
        <w:t>Persons with HIV/AIDS</w:t>
      </w:r>
    </w:p>
    <w:p w14:paraId="30BA616F" w14:textId="77777777" w:rsidR="00B20CA1" w:rsidRPr="00F85E9B" w:rsidRDefault="00B20CA1" w:rsidP="00B20CA1">
      <w:pPr>
        <w:pStyle w:val="ListParagraph"/>
        <w:numPr>
          <w:ilvl w:val="0"/>
          <w:numId w:val="28"/>
        </w:numPr>
        <w:jc w:val="both"/>
        <w:rPr>
          <w:rFonts w:cs="Arial"/>
        </w:rPr>
      </w:pPr>
      <w:r w:rsidRPr="00F85E9B">
        <w:rPr>
          <w:rFonts w:cs="Arial"/>
        </w:rPr>
        <w:t>Persons with disabilities</w:t>
      </w:r>
    </w:p>
    <w:p w14:paraId="7938B0EB" w14:textId="77777777" w:rsidR="00B20CA1" w:rsidRPr="00F85E9B" w:rsidRDefault="00B20CA1" w:rsidP="00B20CA1">
      <w:pPr>
        <w:pStyle w:val="ListParagraph"/>
        <w:numPr>
          <w:ilvl w:val="0"/>
          <w:numId w:val="28"/>
        </w:numPr>
        <w:jc w:val="both"/>
        <w:rPr>
          <w:rFonts w:cs="Arial"/>
        </w:rPr>
      </w:pPr>
      <w:r w:rsidRPr="00F85E9B">
        <w:rPr>
          <w:rFonts w:cs="Arial"/>
        </w:rPr>
        <w:t>Persons with Substance Abuse Addiction</w:t>
      </w:r>
    </w:p>
    <w:p w14:paraId="0EE82029" w14:textId="77777777" w:rsidR="00B20CA1" w:rsidRPr="00F85E9B" w:rsidRDefault="00B20CA1" w:rsidP="00B20CA1">
      <w:pPr>
        <w:pStyle w:val="ListParagraph"/>
        <w:numPr>
          <w:ilvl w:val="0"/>
          <w:numId w:val="28"/>
        </w:numPr>
        <w:jc w:val="both"/>
        <w:rPr>
          <w:rFonts w:cs="Arial"/>
        </w:rPr>
      </w:pPr>
      <w:r w:rsidRPr="00F85E9B">
        <w:rPr>
          <w:rFonts w:cs="Arial"/>
        </w:rPr>
        <w:t>Transitional Housing</w:t>
      </w:r>
    </w:p>
    <w:p w14:paraId="7A2670E0" w14:textId="77777777" w:rsidR="00B20CA1" w:rsidRPr="00F85E9B" w:rsidRDefault="00B20CA1" w:rsidP="00B20CA1">
      <w:pPr>
        <w:pStyle w:val="ListParagraph"/>
        <w:numPr>
          <w:ilvl w:val="0"/>
          <w:numId w:val="28"/>
        </w:numPr>
        <w:jc w:val="both"/>
        <w:rPr>
          <w:rFonts w:cs="Arial"/>
        </w:rPr>
      </w:pPr>
      <w:r w:rsidRPr="00F85E9B">
        <w:rPr>
          <w:rFonts w:cs="Arial"/>
        </w:rPr>
        <w:t>Victims of Domestic Violence</w:t>
      </w:r>
    </w:p>
    <w:p w14:paraId="2FC5331E" w14:textId="77777777" w:rsidR="00B20CA1" w:rsidRPr="00F85E9B" w:rsidRDefault="00B20CA1" w:rsidP="00B20CA1">
      <w:pPr>
        <w:jc w:val="both"/>
        <w:rPr>
          <w:rFonts w:cs="Arial"/>
        </w:rPr>
      </w:pPr>
    </w:p>
    <w:p w14:paraId="3B46D58C" w14:textId="77777777" w:rsidR="00B20CA1" w:rsidRPr="00F85E9B" w:rsidRDefault="00B20CA1" w:rsidP="00B20CA1">
      <w:pPr>
        <w:jc w:val="both"/>
        <w:rPr>
          <w:rFonts w:cs="Arial"/>
          <w:b/>
        </w:rPr>
      </w:pPr>
      <w:r w:rsidRPr="00F85E9B">
        <w:rPr>
          <w:rFonts w:cs="Arial"/>
          <w:b/>
          <w:u w:val="single"/>
        </w:rPr>
        <w:t>Category 3</w:t>
      </w:r>
      <w:r w:rsidRPr="00F85E9B">
        <w:rPr>
          <w:rFonts w:cs="Arial"/>
          <w:b/>
        </w:rPr>
        <w:t xml:space="preserve"> – Great Places (0 or 2 points)</w:t>
      </w:r>
    </w:p>
    <w:p w14:paraId="277B38EC" w14:textId="77777777" w:rsidR="00B20CA1" w:rsidRPr="00F85E9B" w:rsidRDefault="00B20CA1" w:rsidP="00B20CA1">
      <w:pPr>
        <w:jc w:val="both"/>
        <w:rPr>
          <w:rFonts w:cs="Arial"/>
        </w:rPr>
      </w:pPr>
      <w:r w:rsidRPr="00F85E9B">
        <w:rPr>
          <w:rFonts w:cs="Arial"/>
        </w:rPr>
        <w:t>Points will be awarded if the application says project is located entirely in a Great Place and the completed IFA required form for Exhibit H-28, Great Places, is uploaded with the online application.</w:t>
      </w:r>
    </w:p>
    <w:p w14:paraId="3D438023" w14:textId="77777777" w:rsidR="00B20CA1" w:rsidRPr="00F85E9B" w:rsidRDefault="00B20CA1" w:rsidP="00B20CA1">
      <w:pPr>
        <w:jc w:val="both"/>
        <w:rPr>
          <w:rFonts w:cs="Arial"/>
        </w:rPr>
      </w:pPr>
    </w:p>
    <w:p w14:paraId="6197A6B7" w14:textId="77777777" w:rsidR="00B20CA1" w:rsidRPr="00F85E9B" w:rsidRDefault="00B20CA1" w:rsidP="00B20CA1">
      <w:pPr>
        <w:jc w:val="both"/>
        <w:rPr>
          <w:rFonts w:cs="Arial"/>
          <w:b/>
        </w:rPr>
      </w:pPr>
      <w:r w:rsidRPr="00F85E9B">
        <w:rPr>
          <w:rFonts w:cs="Arial"/>
          <w:b/>
          <w:u w:val="single"/>
        </w:rPr>
        <w:t>Category 4</w:t>
      </w:r>
      <w:r w:rsidRPr="00F85E9B">
        <w:rPr>
          <w:rFonts w:cs="Arial"/>
          <w:b/>
        </w:rPr>
        <w:t xml:space="preserve"> – H</w:t>
      </w:r>
      <w:r>
        <w:rPr>
          <w:rFonts w:cs="Arial"/>
          <w:b/>
        </w:rPr>
        <w:t>ome</w:t>
      </w:r>
      <w:r w:rsidRPr="00F85E9B">
        <w:rPr>
          <w:rFonts w:cs="Arial"/>
          <w:b/>
        </w:rPr>
        <w:t xml:space="preserve"> Base Iowa Community (0 or 2 points)</w:t>
      </w:r>
    </w:p>
    <w:p w14:paraId="11E398D1" w14:textId="77777777" w:rsidR="00B20CA1" w:rsidRPr="00F85E9B" w:rsidRDefault="00B20CA1" w:rsidP="00B20CA1">
      <w:pPr>
        <w:jc w:val="both"/>
        <w:rPr>
          <w:rFonts w:cs="Arial"/>
        </w:rPr>
      </w:pPr>
      <w:r w:rsidRPr="00F85E9B">
        <w:rPr>
          <w:rFonts w:cs="Arial"/>
        </w:rPr>
        <w:t xml:space="preserve">Points will be awarded if the application shows the project is located entirely in a </w:t>
      </w:r>
      <w:r>
        <w:rPr>
          <w:rFonts w:cs="Arial"/>
        </w:rPr>
        <w:t xml:space="preserve">city that is a </w:t>
      </w:r>
      <w:r w:rsidRPr="00F85E9B">
        <w:rPr>
          <w:rFonts w:cs="Arial"/>
        </w:rPr>
        <w:t>H</w:t>
      </w:r>
      <w:r>
        <w:rPr>
          <w:rFonts w:cs="Arial"/>
        </w:rPr>
        <w:t>ome</w:t>
      </w:r>
      <w:r w:rsidRPr="00F85E9B">
        <w:rPr>
          <w:rFonts w:cs="Arial"/>
        </w:rPr>
        <w:t xml:space="preserve"> Base Iowa Community as shown at </w:t>
      </w:r>
      <w:hyperlink r:id="rId8" w:history="1">
        <w:r w:rsidRPr="00517966">
          <w:rPr>
            <w:rStyle w:val="Hyperlink"/>
            <w:rFonts w:eastAsiaTheme="majorEastAsia" w:cs="Arial"/>
          </w:rPr>
          <w:t>https://www.homebaseiowa.gov/resources/communities/</w:t>
        </w:r>
      </w:hyperlink>
      <w:r>
        <w:rPr>
          <w:rFonts w:cs="Arial"/>
        </w:rPr>
        <w:t>.</w:t>
      </w:r>
    </w:p>
    <w:p w14:paraId="636A57B3" w14:textId="77777777" w:rsidR="00B20CA1" w:rsidRPr="00F85E9B" w:rsidRDefault="00B20CA1" w:rsidP="00B20CA1">
      <w:pPr>
        <w:jc w:val="both"/>
        <w:rPr>
          <w:rFonts w:cs="Arial"/>
        </w:rPr>
      </w:pPr>
    </w:p>
    <w:p w14:paraId="01B35CB3" w14:textId="77777777" w:rsidR="00B20CA1" w:rsidRPr="00F85E9B" w:rsidRDefault="00B20CA1" w:rsidP="00B20CA1">
      <w:pPr>
        <w:jc w:val="both"/>
        <w:rPr>
          <w:rFonts w:cs="Arial"/>
          <w:b/>
        </w:rPr>
      </w:pPr>
      <w:r w:rsidRPr="00F85E9B">
        <w:rPr>
          <w:rFonts w:cs="Arial"/>
          <w:b/>
          <w:u w:val="single"/>
        </w:rPr>
        <w:t>Category 5</w:t>
      </w:r>
      <w:r w:rsidRPr="00F85E9B">
        <w:rPr>
          <w:rFonts w:cs="Arial"/>
          <w:b/>
        </w:rPr>
        <w:t xml:space="preserve"> – Historical Significance (0 or 2 points)</w:t>
      </w:r>
    </w:p>
    <w:p w14:paraId="58F7FD5E" w14:textId="77777777" w:rsidR="00B20CA1" w:rsidRPr="00F85E9B" w:rsidRDefault="00B20CA1" w:rsidP="00B20CA1">
      <w:pPr>
        <w:jc w:val="both"/>
        <w:rPr>
          <w:rFonts w:cs="Arial"/>
        </w:rPr>
      </w:pPr>
      <w:r w:rsidRPr="00F85E9B">
        <w:rPr>
          <w:rFonts w:cs="Arial"/>
        </w:rPr>
        <w:t>Points will be awarded if the application says all buildings in the project have the proper historic designation and Exhibit H-27, Historical Significance, is uploaded with the online application.</w:t>
      </w:r>
    </w:p>
    <w:p w14:paraId="3CBFDDC9" w14:textId="77777777" w:rsidR="00B20CA1" w:rsidRPr="00F85E9B" w:rsidRDefault="00B20CA1" w:rsidP="00B20CA1">
      <w:pPr>
        <w:jc w:val="both"/>
        <w:rPr>
          <w:rFonts w:cs="Arial"/>
        </w:rPr>
      </w:pPr>
    </w:p>
    <w:p w14:paraId="27AC424F" w14:textId="77777777" w:rsidR="00B20CA1" w:rsidRPr="00F85E9B" w:rsidRDefault="00B20CA1" w:rsidP="00B20CA1">
      <w:pPr>
        <w:jc w:val="both"/>
        <w:rPr>
          <w:rFonts w:cs="Arial"/>
          <w:b/>
        </w:rPr>
      </w:pPr>
      <w:r w:rsidRPr="00F85E9B">
        <w:rPr>
          <w:rFonts w:cs="Arial"/>
          <w:b/>
          <w:u w:val="single"/>
        </w:rPr>
        <w:t>Category 6</w:t>
      </w:r>
      <w:r w:rsidRPr="00F85E9B">
        <w:rPr>
          <w:rFonts w:cs="Arial"/>
          <w:b/>
        </w:rPr>
        <w:t xml:space="preserve"> – Opportunity </w:t>
      </w:r>
      <w:r>
        <w:rPr>
          <w:rFonts w:cs="Arial"/>
          <w:b/>
        </w:rPr>
        <w:t>Index Census Tracts</w:t>
      </w:r>
      <w:r w:rsidRPr="00F85E9B">
        <w:rPr>
          <w:rFonts w:cs="Arial"/>
          <w:b/>
        </w:rPr>
        <w:t xml:space="preserve"> (0, 3 or 6 points)</w:t>
      </w:r>
    </w:p>
    <w:p w14:paraId="1678A5D2" w14:textId="77777777" w:rsidR="00B20CA1" w:rsidRPr="002B2F5E" w:rsidRDefault="00B20CA1" w:rsidP="00B20CA1">
      <w:pPr>
        <w:jc w:val="both"/>
        <w:rPr>
          <w:rFonts w:cs="Arial"/>
          <w:color w:val="FF0000"/>
        </w:rPr>
      </w:pPr>
      <w:r>
        <w:rPr>
          <w:rFonts w:cs="Arial"/>
        </w:rPr>
        <w:t xml:space="preserve">Points will be awarded if the </w:t>
      </w:r>
      <w:r w:rsidRPr="00F85E9B">
        <w:rPr>
          <w:rFonts w:cs="Arial"/>
        </w:rPr>
        <w:t xml:space="preserve">project is located entirely </w:t>
      </w:r>
      <w:r>
        <w:rPr>
          <w:rFonts w:cs="Arial"/>
        </w:rPr>
        <w:t xml:space="preserve">in a census tract that is identified as a High or Very High Opportunity Area as shown </w:t>
      </w:r>
      <w:r w:rsidRPr="00F85E9B">
        <w:rPr>
          <w:rFonts w:cs="Arial"/>
        </w:rPr>
        <w:t xml:space="preserve">on Appendix M.  </w:t>
      </w:r>
    </w:p>
    <w:p w14:paraId="2D7E29F4" w14:textId="77777777" w:rsidR="00B20CA1" w:rsidRPr="00F85E9B" w:rsidRDefault="00B20CA1" w:rsidP="00B20CA1">
      <w:pPr>
        <w:jc w:val="both"/>
        <w:rPr>
          <w:rFonts w:cs="Arial"/>
        </w:rPr>
      </w:pPr>
    </w:p>
    <w:tbl>
      <w:tblPr>
        <w:tblStyle w:val="TableGrid"/>
        <w:tblW w:w="0" w:type="auto"/>
        <w:jc w:val="center"/>
        <w:tblLook w:val="04A0" w:firstRow="1" w:lastRow="0" w:firstColumn="1" w:lastColumn="0" w:noHBand="0" w:noVBand="1"/>
      </w:tblPr>
      <w:tblGrid>
        <w:gridCol w:w="3317"/>
        <w:gridCol w:w="1350"/>
      </w:tblGrid>
      <w:tr w:rsidR="00B20CA1" w:rsidRPr="00F85E9B" w14:paraId="6A200F1D" w14:textId="77777777" w:rsidTr="00631D70">
        <w:trPr>
          <w:jc w:val="center"/>
        </w:trPr>
        <w:tc>
          <w:tcPr>
            <w:tcW w:w="3317" w:type="dxa"/>
          </w:tcPr>
          <w:p w14:paraId="5C1C461D" w14:textId="77777777" w:rsidR="00B20CA1" w:rsidRPr="00F85E9B" w:rsidRDefault="00B20CA1" w:rsidP="00631D70">
            <w:pPr>
              <w:jc w:val="both"/>
              <w:rPr>
                <w:rFonts w:cs="Arial"/>
              </w:rPr>
            </w:pPr>
            <w:r w:rsidRPr="00F85E9B">
              <w:rPr>
                <w:rFonts w:cs="Arial"/>
              </w:rPr>
              <w:t xml:space="preserve">High Opportunity </w:t>
            </w:r>
            <w:r>
              <w:rPr>
                <w:rFonts w:cs="Arial"/>
              </w:rPr>
              <w:t>Area</w:t>
            </w:r>
          </w:p>
        </w:tc>
        <w:tc>
          <w:tcPr>
            <w:tcW w:w="1350" w:type="dxa"/>
          </w:tcPr>
          <w:p w14:paraId="43BAA385" w14:textId="77777777" w:rsidR="00B20CA1" w:rsidRPr="00F85E9B" w:rsidRDefault="00B20CA1" w:rsidP="00631D70">
            <w:pPr>
              <w:jc w:val="both"/>
              <w:rPr>
                <w:rFonts w:cs="Arial"/>
              </w:rPr>
            </w:pPr>
            <w:r w:rsidRPr="00F85E9B">
              <w:rPr>
                <w:rFonts w:cs="Arial"/>
              </w:rPr>
              <w:t xml:space="preserve">  3 points</w:t>
            </w:r>
          </w:p>
        </w:tc>
      </w:tr>
      <w:tr w:rsidR="00B20CA1" w:rsidRPr="00F85E9B" w14:paraId="549B32B8" w14:textId="77777777" w:rsidTr="00631D70">
        <w:trPr>
          <w:jc w:val="center"/>
        </w:trPr>
        <w:tc>
          <w:tcPr>
            <w:tcW w:w="3317" w:type="dxa"/>
          </w:tcPr>
          <w:p w14:paraId="6AF0B7A8" w14:textId="77777777" w:rsidR="00B20CA1" w:rsidRPr="00F85E9B" w:rsidRDefault="00B20CA1" w:rsidP="00631D70">
            <w:pPr>
              <w:jc w:val="both"/>
              <w:rPr>
                <w:rFonts w:cs="Arial"/>
              </w:rPr>
            </w:pPr>
            <w:r w:rsidRPr="00F85E9B">
              <w:rPr>
                <w:rFonts w:cs="Arial"/>
              </w:rPr>
              <w:t xml:space="preserve">Very High Opportunity </w:t>
            </w:r>
            <w:r>
              <w:rPr>
                <w:rFonts w:cs="Arial"/>
              </w:rPr>
              <w:t>Area</w:t>
            </w:r>
          </w:p>
        </w:tc>
        <w:tc>
          <w:tcPr>
            <w:tcW w:w="1350" w:type="dxa"/>
          </w:tcPr>
          <w:p w14:paraId="2FC285FE" w14:textId="77777777" w:rsidR="00B20CA1" w:rsidRPr="00F85E9B" w:rsidRDefault="00B20CA1" w:rsidP="00631D70">
            <w:pPr>
              <w:jc w:val="both"/>
              <w:rPr>
                <w:rFonts w:cs="Arial"/>
              </w:rPr>
            </w:pPr>
            <w:r w:rsidRPr="00F85E9B">
              <w:rPr>
                <w:rFonts w:cs="Arial"/>
              </w:rPr>
              <w:t xml:space="preserve">  6 points</w:t>
            </w:r>
          </w:p>
        </w:tc>
      </w:tr>
    </w:tbl>
    <w:p w14:paraId="60F5A7B1" w14:textId="77777777" w:rsidR="00B20CA1" w:rsidRPr="00F85E9B" w:rsidRDefault="00B20CA1" w:rsidP="00B20CA1">
      <w:pPr>
        <w:jc w:val="both"/>
        <w:rPr>
          <w:rFonts w:cs="Arial"/>
        </w:rPr>
      </w:pPr>
    </w:p>
    <w:p w14:paraId="4B2F0BE4" w14:textId="1E93A274" w:rsidR="00B20CA1" w:rsidRPr="00F85E9B" w:rsidRDefault="00B20CA1" w:rsidP="00B20CA1">
      <w:pPr>
        <w:jc w:val="both"/>
        <w:rPr>
          <w:rFonts w:cs="Arial"/>
          <w:b/>
        </w:rPr>
      </w:pPr>
      <w:bookmarkStart w:id="0" w:name="_Hlk64565930"/>
      <w:r w:rsidRPr="00F85E9B">
        <w:rPr>
          <w:rFonts w:cs="Arial"/>
          <w:b/>
          <w:u w:val="single"/>
        </w:rPr>
        <w:t>Category 7</w:t>
      </w:r>
      <w:r w:rsidRPr="00F85E9B">
        <w:rPr>
          <w:rFonts w:cs="Arial"/>
          <w:b/>
        </w:rPr>
        <w:t xml:space="preserve"> – Fully Accessible Units (0 or </w:t>
      </w:r>
      <w:r w:rsidR="00FE12A9">
        <w:rPr>
          <w:rFonts w:cs="Arial"/>
          <w:b/>
        </w:rPr>
        <w:t>10</w:t>
      </w:r>
      <w:r w:rsidRPr="00F85E9B">
        <w:rPr>
          <w:rFonts w:cs="Arial"/>
          <w:b/>
        </w:rPr>
        <w:t xml:space="preserve"> points)</w:t>
      </w:r>
      <w:r w:rsidR="00FE12A9">
        <w:rPr>
          <w:rFonts w:cs="Arial"/>
          <w:b/>
        </w:rPr>
        <w:t xml:space="preserve"> </w:t>
      </w:r>
    </w:p>
    <w:bookmarkEnd w:id="0"/>
    <w:p w14:paraId="66E7F474" w14:textId="535DABC0" w:rsidR="00B20CA1" w:rsidRDefault="00B20CA1" w:rsidP="00B20CA1">
      <w:pPr>
        <w:jc w:val="both"/>
        <w:rPr>
          <w:rFonts w:cs="Arial"/>
        </w:rPr>
      </w:pPr>
      <w:r w:rsidRPr="00F85E9B">
        <w:rPr>
          <w:rFonts w:cs="Arial"/>
        </w:rPr>
        <w:t>Fifty percent (50%) of the HOME-assisted units must be fully accessible (not adaptable) and shown as such in the plans submitted with the application.  “Fully accessible unit” means a unit designed and constructed for full accessibility in accordance with Section 1002 of the International Code Council (ICC) A117.1.</w:t>
      </w:r>
      <w:r w:rsidR="00FE12A9" w:rsidRPr="00FE12A9">
        <w:rPr>
          <w:rFonts w:asciiTheme="minorHAnsi" w:eastAsiaTheme="minorHAnsi" w:hAnsiTheme="minorHAnsi" w:cstheme="minorBidi"/>
          <w:sz w:val="20"/>
          <w:szCs w:val="20"/>
        </w:rPr>
        <w:t xml:space="preserve"> </w:t>
      </w:r>
      <w:r w:rsidR="00FE12A9" w:rsidRPr="00FE12A9">
        <w:rPr>
          <w:rFonts w:cs="Arial"/>
        </w:rPr>
        <w:t>If 50% of the HOME units are fully accessible 10 points</w:t>
      </w:r>
      <w:r w:rsidR="00FE12A9">
        <w:rPr>
          <w:rFonts w:cs="Arial"/>
        </w:rPr>
        <w:t>.</w:t>
      </w:r>
    </w:p>
    <w:p w14:paraId="660F0CBA" w14:textId="77777777" w:rsidR="00FE12A9" w:rsidRDefault="00FE12A9" w:rsidP="00B20CA1">
      <w:pPr>
        <w:jc w:val="both"/>
        <w:rPr>
          <w:rFonts w:cs="Arial"/>
        </w:rPr>
      </w:pPr>
    </w:p>
    <w:p w14:paraId="1C017AE3" w14:textId="77777777" w:rsidR="00FE12A9" w:rsidRDefault="00FE12A9" w:rsidP="00FE12A9">
      <w:pPr>
        <w:jc w:val="both"/>
        <w:rPr>
          <w:rFonts w:cs="Arial"/>
          <w:b/>
          <w:u w:val="single"/>
        </w:rPr>
      </w:pPr>
    </w:p>
    <w:p w14:paraId="6A681F4C" w14:textId="1C38AEE9" w:rsidR="00FE12A9" w:rsidRPr="00F85E9B" w:rsidRDefault="00FE12A9" w:rsidP="00FE12A9">
      <w:pPr>
        <w:jc w:val="both"/>
        <w:rPr>
          <w:rFonts w:cs="Arial"/>
          <w:b/>
        </w:rPr>
      </w:pPr>
      <w:r w:rsidRPr="00F85E9B">
        <w:rPr>
          <w:rFonts w:cs="Arial"/>
          <w:b/>
          <w:u w:val="single"/>
        </w:rPr>
        <w:lastRenderedPageBreak/>
        <w:t xml:space="preserve">Category </w:t>
      </w:r>
      <w:r w:rsidR="00767E14">
        <w:rPr>
          <w:rFonts w:cs="Arial"/>
          <w:b/>
          <w:u w:val="single"/>
        </w:rPr>
        <w:t>8</w:t>
      </w:r>
      <w:r w:rsidRPr="00F85E9B">
        <w:rPr>
          <w:rFonts w:cs="Arial"/>
          <w:b/>
        </w:rPr>
        <w:t xml:space="preserve"> – </w:t>
      </w:r>
      <w:r w:rsidR="00767E14">
        <w:rPr>
          <w:rFonts w:cs="Arial"/>
          <w:b/>
        </w:rPr>
        <w:t xml:space="preserve">Fully Accessible </w:t>
      </w:r>
      <w:r>
        <w:rPr>
          <w:rFonts w:cs="Arial"/>
          <w:b/>
        </w:rPr>
        <w:t>Roll-In Shower (0 or 1 point)</w:t>
      </w:r>
      <w:r>
        <w:rPr>
          <w:rFonts w:cs="Arial"/>
          <w:b/>
        </w:rPr>
        <w:t xml:space="preserve"> </w:t>
      </w:r>
    </w:p>
    <w:p w14:paraId="4B92CEB3" w14:textId="78DD8A49" w:rsidR="00FE12A9" w:rsidRPr="00F85E9B" w:rsidRDefault="00FE12A9" w:rsidP="00B20CA1">
      <w:pPr>
        <w:jc w:val="both"/>
        <w:rPr>
          <w:rFonts w:cs="Arial"/>
        </w:rPr>
      </w:pPr>
      <w:bookmarkStart w:id="1" w:name="_Hlk64566321"/>
      <w:r w:rsidRPr="00FE12A9">
        <w:rPr>
          <w:rFonts w:cs="Arial"/>
        </w:rPr>
        <w:t>One minimum 5’ wide ADA-compliant roll-in shower per each ADA fully accessible unit and shall be disbursed throughout the property and in different bedroom sizes.</w:t>
      </w:r>
      <w:r>
        <w:rPr>
          <w:rFonts w:cs="Arial"/>
        </w:rPr>
        <w:t xml:space="preserve"> 1 point.</w:t>
      </w:r>
    </w:p>
    <w:bookmarkEnd w:id="1"/>
    <w:p w14:paraId="1A4A059E" w14:textId="77777777" w:rsidR="00FE12A9" w:rsidRDefault="00FE12A9" w:rsidP="00FE12A9">
      <w:pPr>
        <w:rPr>
          <w:rFonts w:cs="Arial"/>
          <w:b/>
          <w:u w:val="single"/>
        </w:rPr>
      </w:pPr>
    </w:p>
    <w:p w14:paraId="08004CEF" w14:textId="5FD3FA6A" w:rsidR="00B20CA1" w:rsidRPr="00FE12A9" w:rsidRDefault="00B20CA1" w:rsidP="00FE12A9">
      <w:pPr>
        <w:rPr>
          <w:rFonts w:cs="Arial"/>
          <w:b/>
          <w:u w:val="single"/>
        </w:rPr>
      </w:pPr>
      <w:r w:rsidRPr="00F85E9B">
        <w:rPr>
          <w:rFonts w:cs="Arial"/>
          <w:b/>
          <w:u w:val="single"/>
        </w:rPr>
        <w:t xml:space="preserve">Category </w:t>
      </w:r>
      <w:r w:rsidR="00767E14">
        <w:rPr>
          <w:rFonts w:cs="Arial"/>
          <w:b/>
          <w:u w:val="single"/>
        </w:rPr>
        <w:t>9</w:t>
      </w:r>
      <w:r w:rsidRPr="00F85E9B">
        <w:rPr>
          <w:rFonts w:cs="Arial"/>
          <w:b/>
        </w:rPr>
        <w:t xml:space="preserve"> – Capacity (0, 5 or 10 points)</w:t>
      </w:r>
    </w:p>
    <w:p w14:paraId="0E941224" w14:textId="77777777" w:rsidR="00B20CA1" w:rsidRPr="00F85E9B" w:rsidRDefault="00B20CA1" w:rsidP="00B20CA1">
      <w:pPr>
        <w:jc w:val="both"/>
        <w:rPr>
          <w:rFonts w:cs="Arial"/>
        </w:rPr>
      </w:pPr>
      <w:r w:rsidRPr="00F85E9B">
        <w:rPr>
          <w:rFonts w:cs="Arial"/>
        </w:rPr>
        <w:t>Points will be awarded based on IFA’s review of the capacity section of the application.</w:t>
      </w:r>
    </w:p>
    <w:p w14:paraId="6188B416" w14:textId="77777777" w:rsidR="00B20CA1" w:rsidRPr="00F85E9B" w:rsidRDefault="00B20CA1" w:rsidP="00B20CA1">
      <w:pPr>
        <w:jc w:val="both"/>
        <w:rPr>
          <w:rFonts w:cs="Arial"/>
          <w:color w:val="FF0000"/>
        </w:rPr>
      </w:pPr>
    </w:p>
    <w:tbl>
      <w:tblPr>
        <w:tblStyle w:val="TableGrid"/>
        <w:tblW w:w="0" w:type="auto"/>
        <w:jc w:val="center"/>
        <w:tblLook w:val="04A0" w:firstRow="1" w:lastRow="0" w:firstColumn="1" w:lastColumn="0" w:noHBand="0" w:noVBand="1"/>
      </w:tblPr>
      <w:tblGrid>
        <w:gridCol w:w="3116"/>
        <w:gridCol w:w="1260"/>
      </w:tblGrid>
      <w:tr w:rsidR="00B20CA1" w:rsidRPr="00F85E9B" w14:paraId="23A2A7D3" w14:textId="77777777" w:rsidTr="00631D70">
        <w:trPr>
          <w:jc w:val="center"/>
        </w:trPr>
        <w:tc>
          <w:tcPr>
            <w:tcW w:w="3116" w:type="dxa"/>
          </w:tcPr>
          <w:p w14:paraId="547194FF" w14:textId="77777777" w:rsidR="00B20CA1" w:rsidRPr="00F85E9B" w:rsidRDefault="00B20CA1" w:rsidP="00631D70">
            <w:pPr>
              <w:jc w:val="both"/>
              <w:rPr>
                <w:rFonts w:cs="Arial"/>
              </w:rPr>
            </w:pPr>
            <w:r w:rsidRPr="00F85E9B">
              <w:rPr>
                <w:rFonts w:cs="Arial"/>
              </w:rPr>
              <w:t>High Risk Determination</w:t>
            </w:r>
          </w:p>
        </w:tc>
        <w:tc>
          <w:tcPr>
            <w:tcW w:w="1260" w:type="dxa"/>
          </w:tcPr>
          <w:p w14:paraId="246DCEC8" w14:textId="77777777" w:rsidR="00B20CA1" w:rsidRPr="00F85E9B" w:rsidRDefault="00B20CA1" w:rsidP="00631D70">
            <w:pPr>
              <w:jc w:val="both"/>
              <w:rPr>
                <w:rFonts w:cs="Arial"/>
              </w:rPr>
            </w:pPr>
            <w:r w:rsidRPr="00F85E9B">
              <w:rPr>
                <w:rFonts w:cs="Arial"/>
              </w:rPr>
              <w:t xml:space="preserve">  0 points</w:t>
            </w:r>
          </w:p>
        </w:tc>
      </w:tr>
      <w:tr w:rsidR="00B20CA1" w:rsidRPr="00F85E9B" w14:paraId="52FBEC41" w14:textId="77777777" w:rsidTr="00631D70">
        <w:trPr>
          <w:jc w:val="center"/>
        </w:trPr>
        <w:tc>
          <w:tcPr>
            <w:tcW w:w="3116" w:type="dxa"/>
          </w:tcPr>
          <w:p w14:paraId="320D02F9" w14:textId="77777777" w:rsidR="00B20CA1" w:rsidRPr="00F85E9B" w:rsidRDefault="00B20CA1" w:rsidP="00631D70">
            <w:pPr>
              <w:jc w:val="both"/>
              <w:rPr>
                <w:rFonts w:cs="Arial"/>
              </w:rPr>
            </w:pPr>
            <w:r w:rsidRPr="00F85E9B">
              <w:rPr>
                <w:rFonts w:cs="Arial"/>
              </w:rPr>
              <w:t>Medium Risk Determination</w:t>
            </w:r>
          </w:p>
        </w:tc>
        <w:tc>
          <w:tcPr>
            <w:tcW w:w="1260" w:type="dxa"/>
          </w:tcPr>
          <w:p w14:paraId="3837E293" w14:textId="77777777" w:rsidR="00B20CA1" w:rsidRPr="00F85E9B" w:rsidRDefault="00B20CA1" w:rsidP="00631D70">
            <w:pPr>
              <w:jc w:val="both"/>
              <w:rPr>
                <w:rFonts w:cs="Arial"/>
              </w:rPr>
            </w:pPr>
            <w:r w:rsidRPr="00F85E9B">
              <w:rPr>
                <w:rFonts w:cs="Arial"/>
              </w:rPr>
              <w:t xml:space="preserve">  5 points</w:t>
            </w:r>
          </w:p>
        </w:tc>
      </w:tr>
      <w:tr w:rsidR="00B20CA1" w:rsidRPr="00F85E9B" w14:paraId="39DCEB42" w14:textId="77777777" w:rsidTr="00631D70">
        <w:trPr>
          <w:jc w:val="center"/>
        </w:trPr>
        <w:tc>
          <w:tcPr>
            <w:tcW w:w="3116" w:type="dxa"/>
          </w:tcPr>
          <w:p w14:paraId="25A36510" w14:textId="77777777" w:rsidR="00B20CA1" w:rsidRPr="00F85E9B" w:rsidRDefault="00B20CA1" w:rsidP="00631D70">
            <w:pPr>
              <w:jc w:val="both"/>
              <w:rPr>
                <w:rFonts w:cs="Arial"/>
              </w:rPr>
            </w:pPr>
            <w:r w:rsidRPr="00F85E9B">
              <w:rPr>
                <w:rFonts w:cs="Arial"/>
              </w:rPr>
              <w:t>Low Risk Determination</w:t>
            </w:r>
          </w:p>
        </w:tc>
        <w:tc>
          <w:tcPr>
            <w:tcW w:w="1260" w:type="dxa"/>
          </w:tcPr>
          <w:p w14:paraId="0868DC6D" w14:textId="77777777" w:rsidR="00B20CA1" w:rsidRPr="00F85E9B" w:rsidRDefault="00B20CA1" w:rsidP="00631D70">
            <w:pPr>
              <w:jc w:val="both"/>
              <w:rPr>
                <w:rFonts w:cs="Arial"/>
              </w:rPr>
            </w:pPr>
            <w:r w:rsidRPr="00F85E9B">
              <w:rPr>
                <w:rFonts w:cs="Arial"/>
              </w:rPr>
              <w:t>10 points</w:t>
            </w:r>
          </w:p>
        </w:tc>
      </w:tr>
    </w:tbl>
    <w:p w14:paraId="6B3A1C83" w14:textId="77777777" w:rsidR="00B20CA1" w:rsidRPr="00F85E9B" w:rsidRDefault="00B20CA1" w:rsidP="00B20CA1">
      <w:pPr>
        <w:jc w:val="both"/>
        <w:rPr>
          <w:rFonts w:cs="Arial"/>
        </w:rPr>
      </w:pPr>
    </w:p>
    <w:p w14:paraId="0E480D8C" w14:textId="77777777" w:rsidR="00767E14" w:rsidRDefault="00767E14" w:rsidP="00767E14">
      <w:pPr>
        <w:jc w:val="both"/>
        <w:rPr>
          <w:rFonts w:cs="Arial"/>
          <w:b/>
          <w:u w:val="single"/>
        </w:rPr>
      </w:pPr>
      <w:r w:rsidRPr="00767E14">
        <w:rPr>
          <w:rFonts w:cs="Arial"/>
          <w:b/>
          <w:u w:val="single"/>
        </w:rPr>
        <w:t xml:space="preserve">Category </w:t>
      </w:r>
      <w:r>
        <w:rPr>
          <w:rFonts w:cs="Arial"/>
          <w:b/>
          <w:u w:val="single"/>
        </w:rPr>
        <w:t>10</w:t>
      </w:r>
      <w:r w:rsidRPr="00767E14">
        <w:rPr>
          <w:rFonts w:cs="Arial"/>
          <w:b/>
          <w:u w:val="single"/>
        </w:rPr>
        <w:t xml:space="preserve"> – </w:t>
      </w:r>
      <w:r>
        <w:rPr>
          <w:rFonts w:cs="Arial"/>
          <w:b/>
          <w:u w:val="single"/>
        </w:rPr>
        <w:t>Impact on the Environment</w:t>
      </w:r>
      <w:r w:rsidRPr="00767E14">
        <w:rPr>
          <w:rFonts w:cs="Arial"/>
          <w:b/>
          <w:u w:val="single"/>
        </w:rPr>
        <w:t xml:space="preserve"> (0 or </w:t>
      </w:r>
      <w:r>
        <w:rPr>
          <w:rFonts w:cs="Arial"/>
          <w:b/>
          <w:u w:val="single"/>
        </w:rPr>
        <w:t>2</w:t>
      </w:r>
      <w:r w:rsidRPr="00767E14">
        <w:rPr>
          <w:rFonts w:cs="Arial"/>
          <w:b/>
          <w:u w:val="single"/>
        </w:rPr>
        <w:t xml:space="preserve"> points)</w:t>
      </w:r>
    </w:p>
    <w:p w14:paraId="7AB464D9" w14:textId="11A9B4F1" w:rsidR="00810C08" w:rsidRPr="00377BEC" w:rsidRDefault="00767E14" w:rsidP="00810C08">
      <w:pPr>
        <w:jc w:val="both"/>
        <w:rPr>
          <w:rFonts w:eastAsiaTheme="minorHAnsi" w:cs="Arial"/>
          <w:sz w:val="20"/>
          <w:szCs w:val="20"/>
        </w:rPr>
      </w:pPr>
      <w:r w:rsidRPr="00377BEC">
        <w:rPr>
          <w:rFonts w:cs="Arial"/>
          <w:bCs/>
        </w:rPr>
        <w:t xml:space="preserve">Points will be awarded based on having one or more </w:t>
      </w:r>
      <w:r w:rsidR="000376FF" w:rsidRPr="00377BEC">
        <w:rPr>
          <w:rFonts w:cs="Arial"/>
          <w:bCs/>
        </w:rPr>
        <w:t xml:space="preserve">of </w:t>
      </w:r>
      <w:r w:rsidRPr="00377BEC">
        <w:rPr>
          <w:rFonts w:cs="Arial"/>
          <w:bCs/>
        </w:rPr>
        <w:t>the following features</w:t>
      </w:r>
      <w:r w:rsidR="00810C08" w:rsidRPr="00377BEC">
        <w:rPr>
          <w:rFonts w:cs="Arial"/>
          <w:bCs/>
        </w:rPr>
        <w:t>. Each feature is worth 2 points.</w:t>
      </w:r>
    </w:p>
    <w:p w14:paraId="0E1F347A" w14:textId="5E543235" w:rsidR="00810C08" w:rsidRPr="00377BEC" w:rsidRDefault="00810C08" w:rsidP="00810C08">
      <w:pPr>
        <w:jc w:val="both"/>
        <w:rPr>
          <w:rFonts w:cs="Arial"/>
          <w:bCs/>
        </w:rPr>
      </w:pPr>
      <w:r w:rsidRPr="00377BEC">
        <w:rPr>
          <w:rFonts w:cs="Arial"/>
          <w:b/>
        </w:rPr>
        <w:t>No Smoking Policy.</w:t>
      </w:r>
      <w:r w:rsidRPr="00377BEC">
        <w:rPr>
          <w:rFonts w:cs="Arial"/>
          <w:bCs/>
        </w:rPr>
        <w:t xml:space="preserve">  A 'no smoking' policy will be implemented and enforced throughout the Affordability Period for all common areas and individual living areas of all buildings.</w:t>
      </w:r>
      <w:r w:rsidRPr="00377BEC">
        <w:rPr>
          <w:rFonts w:cs="Arial"/>
          <w:bCs/>
        </w:rPr>
        <w:t xml:space="preserve"> </w:t>
      </w:r>
    </w:p>
    <w:p w14:paraId="420BA539" w14:textId="5F170F51" w:rsidR="00810C08" w:rsidRPr="00377BEC" w:rsidRDefault="00810C08" w:rsidP="00810C08">
      <w:pPr>
        <w:jc w:val="both"/>
        <w:rPr>
          <w:rFonts w:cs="Arial"/>
          <w:bCs/>
        </w:rPr>
      </w:pPr>
      <w:r w:rsidRPr="00810C08">
        <w:rPr>
          <w:rFonts w:cs="Arial"/>
          <w:b/>
        </w:rPr>
        <w:t>Water Conserving Measures.</w:t>
      </w:r>
      <w:r w:rsidRPr="00810C08">
        <w:rPr>
          <w:rFonts w:cs="Arial"/>
          <w:bCs/>
        </w:rPr>
        <w:t xml:space="preserve">  Install, provide, and maintain throughout the Affordability Period, at the cost of the Project Ownership, toilets that are high efficiency WaterSense toilets that use 1.28 gallons per flush or less (dual flush toilets do not quality); faucet aerators that use 1.5 gallons per minute (gpm) or less in kitchens and 1.0 gpm or less in bathrooms; and showerheads that use 1.5 gpm or less.</w:t>
      </w:r>
    </w:p>
    <w:p w14:paraId="7AE90C3B" w14:textId="77777777" w:rsidR="00810C08" w:rsidRPr="00810C08" w:rsidRDefault="00810C08" w:rsidP="00810C08">
      <w:pPr>
        <w:jc w:val="both"/>
        <w:rPr>
          <w:rFonts w:cs="Arial"/>
          <w:bCs/>
        </w:rPr>
      </w:pPr>
      <w:r w:rsidRPr="00810C08">
        <w:rPr>
          <w:rFonts w:cs="Arial"/>
          <w:b/>
        </w:rPr>
        <w:t>In-Unit Energy Efficient Water Heaters.</w:t>
      </w:r>
      <w:r w:rsidRPr="00810C08">
        <w:rPr>
          <w:rFonts w:cs="Arial"/>
          <w:bCs/>
        </w:rPr>
        <w:t xml:space="preserve">  Install and provide at no cost to the tenant, energy efficient in-unit water heaters that have a minimum energy factor (EF) of 0.61 tank-type gas, 0.93 for tank-type electric, or 0.96 for tankless water heaters.  The in-unit energy efficient water heaters shall be maintained throughout the affordability period at the cost of the Project Ownership.</w:t>
      </w:r>
    </w:p>
    <w:p w14:paraId="366EE7D9" w14:textId="77777777" w:rsidR="00810C08" w:rsidRPr="00810C08" w:rsidRDefault="00810C08" w:rsidP="00810C08">
      <w:pPr>
        <w:jc w:val="both"/>
        <w:rPr>
          <w:rFonts w:cs="Arial"/>
          <w:bCs/>
        </w:rPr>
      </w:pPr>
    </w:p>
    <w:p w14:paraId="47FD7080" w14:textId="77777777" w:rsidR="00810C08" w:rsidRPr="00377BEC" w:rsidRDefault="00767E14" w:rsidP="00810C08">
      <w:pPr>
        <w:jc w:val="both"/>
        <w:rPr>
          <w:rFonts w:cs="Arial"/>
          <w:bCs/>
          <w:u w:val="single"/>
        </w:rPr>
      </w:pPr>
      <w:r w:rsidRPr="00767E14">
        <w:rPr>
          <w:rFonts w:cs="Arial"/>
          <w:b/>
          <w:u w:val="single"/>
        </w:rPr>
        <w:t xml:space="preserve">Category </w:t>
      </w:r>
      <w:r w:rsidR="00810C08" w:rsidRPr="00377BEC">
        <w:rPr>
          <w:rFonts w:cs="Arial"/>
          <w:b/>
          <w:u w:val="single"/>
        </w:rPr>
        <w:t>11</w:t>
      </w:r>
      <w:r w:rsidRPr="00767E14">
        <w:rPr>
          <w:rFonts w:cs="Arial"/>
          <w:b/>
          <w:u w:val="single"/>
        </w:rPr>
        <w:t xml:space="preserve">– </w:t>
      </w:r>
      <w:r w:rsidR="00810C08" w:rsidRPr="00377BEC">
        <w:rPr>
          <w:rFonts w:cs="Arial"/>
          <w:b/>
          <w:u w:val="single"/>
        </w:rPr>
        <w:t>Location near Services</w:t>
      </w:r>
      <w:r w:rsidRPr="00767E14">
        <w:rPr>
          <w:rFonts w:cs="Arial"/>
          <w:b/>
          <w:u w:val="single"/>
        </w:rPr>
        <w:t xml:space="preserve"> (0 or 1 point) </w:t>
      </w:r>
    </w:p>
    <w:p w14:paraId="21205BBF" w14:textId="6DA35B9F" w:rsidR="00810C08" w:rsidRPr="00377BEC" w:rsidRDefault="00810C08" w:rsidP="00810C08">
      <w:pPr>
        <w:jc w:val="both"/>
        <w:rPr>
          <w:rFonts w:cs="Arial"/>
          <w:u w:val="single"/>
          <w:shd w:val="clear" w:color="auto" w:fill="FFFFFF"/>
        </w:rPr>
      </w:pPr>
      <w:r w:rsidRPr="00377BEC">
        <w:rPr>
          <w:rFonts w:cs="Arial"/>
          <w:b/>
          <w:bCs/>
          <w:u w:val="single"/>
          <w:shd w:val="clear" w:color="auto" w:fill="FFFFFF"/>
        </w:rPr>
        <w:t xml:space="preserve">The following services shall be within the driving distance (using Google Maps driving directions) of 2 miles or less to </w:t>
      </w:r>
      <w:bookmarkStart w:id="2" w:name="_Hlk64567443"/>
      <w:r w:rsidRPr="00377BEC">
        <w:rPr>
          <w:rFonts w:cs="Arial"/>
          <w:b/>
          <w:bCs/>
          <w:u w:val="single"/>
          <w:shd w:val="clear" w:color="auto" w:fill="FFFFFF"/>
        </w:rPr>
        <w:t>get the points associated with each</w:t>
      </w:r>
      <w:bookmarkEnd w:id="2"/>
      <w:r w:rsidRPr="00377BEC">
        <w:rPr>
          <w:rFonts w:cs="Arial"/>
          <w:b/>
          <w:bCs/>
          <w:u w:val="single"/>
          <w:shd w:val="clear" w:color="auto" w:fill="FFFFFF"/>
        </w:rPr>
        <w:t>:</w:t>
      </w:r>
    </w:p>
    <w:p w14:paraId="32CE06A5" w14:textId="3E72032E" w:rsidR="00233AF2" w:rsidRPr="00377BEC" w:rsidRDefault="00233AF2" w:rsidP="00233AF2">
      <w:pPr>
        <w:jc w:val="both"/>
        <w:rPr>
          <w:rFonts w:cs="Arial"/>
          <w:b/>
          <w:bCs/>
          <w:shd w:val="clear" w:color="auto" w:fill="FFFFFF"/>
        </w:rPr>
      </w:pPr>
      <w:r w:rsidRPr="00377BEC">
        <w:rPr>
          <w:rFonts w:cs="Arial"/>
          <w:b/>
          <w:bCs/>
          <w:shd w:val="clear" w:color="auto" w:fill="FFFFFF"/>
        </w:rPr>
        <w:t>Full-service grocery store.</w:t>
      </w:r>
      <w:r w:rsidRPr="00377BEC">
        <w:rPr>
          <w:rFonts w:cs="Arial"/>
          <w:shd w:val="clear" w:color="auto" w:fill="FFFFFF"/>
        </w:rPr>
        <w:t xml:space="preserve">  A grocery store that has available for purchase the following categories:  Fresh meat (beef, pork, chicken, etc.); dairy products (milk, cheese, butter, etc.); frozen foods (vegetables, pizza, ice cream, frozen meals, etc.); canned goods (beans, tomato products, juices, soups, etc.); paper products (toilet paper, paper towels, diapers, feminine products, etc.); health &amp; beauty products (OTC medicines, hair care products, deodorant, etc.); spices (salt, pepper, cinnamon, oregano, etc.); and bread &amp; bakery products (loaves, buns, donuts, lunch/snack items, etc.)</w:t>
      </w:r>
      <w:r w:rsidRPr="00377BEC">
        <w:rPr>
          <w:rFonts w:cs="Arial"/>
          <w:shd w:val="clear" w:color="auto" w:fill="FFFFFF"/>
        </w:rPr>
        <w:t xml:space="preserve"> </w:t>
      </w:r>
      <w:r w:rsidRPr="00377BEC">
        <w:rPr>
          <w:rFonts w:cs="Arial"/>
          <w:b/>
          <w:bCs/>
          <w:shd w:val="clear" w:color="auto" w:fill="FFFFFF"/>
        </w:rPr>
        <w:t>1 point</w:t>
      </w:r>
    </w:p>
    <w:p w14:paraId="24E1C7C7" w14:textId="77777777" w:rsidR="00233AF2" w:rsidRPr="00377BEC" w:rsidRDefault="00233AF2" w:rsidP="00233AF2">
      <w:pPr>
        <w:jc w:val="both"/>
        <w:rPr>
          <w:rFonts w:cs="Arial"/>
          <w:shd w:val="clear" w:color="auto" w:fill="FFFFFF"/>
        </w:rPr>
      </w:pPr>
    </w:p>
    <w:p w14:paraId="04B9DCFC" w14:textId="79710865" w:rsidR="00233AF2" w:rsidRPr="00377BEC" w:rsidRDefault="00233AF2" w:rsidP="00233AF2">
      <w:pPr>
        <w:jc w:val="both"/>
        <w:rPr>
          <w:rFonts w:cs="Arial"/>
          <w:shd w:val="clear" w:color="auto" w:fill="FFFFFF"/>
        </w:rPr>
      </w:pPr>
      <w:r w:rsidRPr="00377BEC">
        <w:rPr>
          <w:rFonts w:cs="Arial"/>
          <w:b/>
          <w:bCs/>
          <w:shd w:val="clear" w:color="auto" w:fill="FFFFFF"/>
        </w:rPr>
        <w:t>Senior Center.</w:t>
      </w:r>
      <w:r w:rsidRPr="00377BEC">
        <w:rPr>
          <w:rFonts w:cs="Arial"/>
          <w:shd w:val="clear" w:color="auto" w:fill="FFFFFF"/>
        </w:rPr>
        <w:t xml:space="preserve">  A community-based, federally funded, program that provides a variety of services that can include social activities, nutrition, and educational and recreational opportunities for older adults.</w:t>
      </w:r>
      <w:r w:rsidRPr="00377BEC">
        <w:rPr>
          <w:rFonts w:cs="Arial"/>
          <w:shd w:val="clear" w:color="auto" w:fill="FFFFFF"/>
        </w:rPr>
        <w:t xml:space="preserve"> </w:t>
      </w:r>
      <w:r w:rsidRPr="00377BEC">
        <w:rPr>
          <w:rFonts w:cs="Arial"/>
          <w:b/>
          <w:bCs/>
          <w:shd w:val="clear" w:color="auto" w:fill="FFFFFF"/>
        </w:rPr>
        <w:t>1 point</w:t>
      </w:r>
    </w:p>
    <w:p w14:paraId="695F7228" w14:textId="77777777" w:rsidR="00233AF2" w:rsidRPr="00377BEC" w:rsidRDefault="00233AF2" w:rsidP="00233AF2">
      <w:pPr>
        <w:jc w:val="both"/>
        <w:rPr>
          <w:rFonts w:cs="Arial"/>
          <w:shd w:val="clear" w:color="auto" w:fill="FFFFFF"/>
        </w:rPr>
      </w:pPr>
    </w:p>
    <w:p w14:paraId="0DAB54BB" w14:textId="2CE242A9" w:rsidR="00233AF2" w:rsidRPr="00377BEC" w:rsidRDefault="00233AF2" w:rsidP="00233AF2">
      <w:pPr>
        <w:jc w:val="both"/>
        <w:rPr>
          <w:rFonts w:cs="Arial"/>
          <w:shd w:val="clear" w:color="auto" w:fill="FFFFFF"/>
        </w:rPr>
      </w:pPr>
      <w:r w:rsidRPr="00377BEC">
        <w:rPr>
          <w:rFonts w:cs="Arial"/>
          <w:b/>
          <w:bCs/>
          <w:shd w:val="clear" w:color="auto" w:fill="FFFFFF"/>
        </w:rPr>
        <w:t>Medical Services.</w:t>
      </w:r>
      <w:r w:rsidRPr="00377BEC">
        <w:rPr>
          <w:rFonts w:cs="Arial"/>
          <w:shd w:val="clear" w:color="auto" w:fill="FFFFFF"/>
        </w:rPr>
        <w:t xml:space="preserve">  A primary care or urgent care clinic or a hospital at which a clinical diagnosis can be obtained from a medical doctor (MD), Doctor of Osteopathic Medicine (DO) or a Physician Assistance (PA).  A Physician or PA is concerned with preventing, maintaining, and treating human illness and injury.  The Physician or PA may conduct physical exams, </w:t>
      </w:r>
      <w:r w:rsidR="00377BEC" w:rsidRPr="00377BEC">
        <w:rPr>
          <w:rFonts w:cs="Arial"/>
          <w:shd w:val="clear" w:color="auto" w:fill="FFFFFF"/>
        </w:rPr>
        <w:t>diagnoses,</w:t>
      </w:r>
      <w:r w:rsidRPr="00377BEC">
        <w:rPr>
          <w:rFonts w:cs="Arial"/>
          <w:shd w:val="clear" w:color="auto" w:fill="FFFFFF"/>
        </w:rPr>
        <w:t xml:space="preserve"> and treat illnesses, order and interpret test, counsel on preventive health care, assist in surgery and write prescriptions.</w:t>
      </w:r>
      <w:r w:rsidRPr="00377BEC">
        <w:rPr>
          <w:rFonts w:cs="Arial"/>
          <w:shd w:val="clear" w:color="auto" w:fill="FFFFFF"/>
        </w:rPr>
        <w:t xml:space="preserve"> </w:t>
      </w:r>
      <w:r w:rsidRPr="00377BEC">
        <w:rPr>
          <w:rFonts w:cs="Arial"/>
          <w:b/>
          <w:bCs/>
          <w:shd w:val="clear" w:color="auto" w:fill="FFFFFF"/>
        </w:rPr>
        <w:t>1 point</w:t>
      </w:r>
    </w:p>
    <w:p w14:paraId="00DE4881" w14:textId="77777777" w:rsidR="00233AF2" w:rsidRPr="00377BEC" w:rsidRDefault="00233AF2" w:rsidP="00233AF2">
      <w:pPr>
        <w:jc w:val="both"/>
        <w:rPr>
          <w:rFonts w:cs="Arial"/>
          <w:shd w:val="clear" w:color="auto" w:fill="FFFFFF"/>
        </w:rPr>
      </w:pPr>
    </w:p>
    <w:p w14:paraId="6A9023AD" w14:textId="17165A13" w:rsidR="00233AF2" w:rsidRPr="00377BEC" w:rsidRDefault="00233AF2" w:rsidP="00233AF2">
      <w:pPr>
        <w:jc w:val="both"/>
        <w:rPr>
          <w:rFonts w:cs="Arial"/>
          <w:b/>
          <w:bCs/>
          <w:shd w:val="clear" w:color="auto" w:fill="FFFFFF"/>
        </w:rPr>
      </w:pPr>
      <w:r w:rsidRPr="00377BEC">
        <w:rPr>
          <w:rFonts w:cs="Arial"/>
          <w:b/>
          <w:bCs/>
          <w:shd w:val="clear" w:color="auto" w:fill="FFFFFF"/>
        </w:rPr>
        <w:t>Public Library.</w:t>
      </w:r>
      <w:r w:rsidRPr="00377BEC">
        <w:rPr>
          <w:rFonts w:cs="Arial"/>
          <w:shd w:val="clear" w:color="auto" w:fill="FFFFFF"/>
        </w:rPr>
        <w:t xml:space="preserve">  A facility accessible by the general public, generally funded from public sources such as taxes, and operated by a government entity to help educate and promote literacy. A public library is: (1) governed by a local board; (2) open to every community member; and (3) provides basic services without charge (story times, quiet study areas, etc.)</w:t>
      </w:r>
      <w:r w:rsidRPr="00377BEC">
        <w:rPr>
          <w:rFonts w:cs="Arial"/>
          <w:shd w:val="clear" w:color="auto" w:fill="FFFFFF"/>
        </w:rPr>
        <w:t xml:space="preserve"> </w:t>
      </w:r>
      <w:r w:rsidRPr="00377BEC">
        <w:rPr>
          <w:rFonts w:cs="Arial"/>
          <w:b/>
          <w:bCs/>
          <w:shd w:val="clear" w:color="auto" w:fill="FFFFFF"/>
        </w:rPr>
        <w:t>1 point</w:t>
      </w:r>
    </w:p>
    <w:p w14:paraId="36B58123" w14:textId="77777777" w:rsidR="00233AF2" w:rsidRPr="00377BEC" w:rsidRDefault="00233AF2" w:rsidP="00233AF2">
      <w:pPr>
        <w:jc w:val="both"/>
        <w:rPr>
          <w:rFonts w:cs="Arial"/>
          <w:shd w:val="clear" w:color="auto" w:fill="FFFFFF"/>
        </w:rPr>
      </w:pPr>
    </w:p>
    <w:p w14:paraId="6C27E01F" w14:textId="5C6B7F99" w:rsidR="00233AF2" w:rsidRPr="00377BEC" w:rsidRDefault="00233AF2" w:rsidP="00233AF2">
      <w:pPr>
        <w:jc w:val="both"/>
        <w:rPr>
          <w:rFonts w:cs="Arial"/>
          <w:b/>
          <w:bCs/>
          <w:shd w:val="clear" w:color="auto" w:fill="FFFFFF"/>
        </w:rPr>
      </w:pPr>
      <w:r w:rsidRPr="00377BEC">
        <w:rPr>
          <w:rFonts w:cs="Arial"/>
          <w:b/>
          <w:bCs/>
          <w:shd w:val="clear" w:color="auto" w:fill="FFFFFF"/>
        </w:rPr>
        <w:lastRenderedPageBreak/>
        <w:t>Park (city, state or local)</w:t>
      </w:r>
      <w:r w:rsidRPr="00377BEC">
        <w:rPr>
          <w:rFonts w:cs="Arial"/>
          <w:shd w:val="clear" w:color="auto" w:fill="FFFFFF"/>
        </w:rPr>
        <w:t xml:space="preserve"> An area of land set-apart, owned, or managed by a city, state, or county governmental entity and available to the general public for use of its facilities for recreation. This does not include exclusively sports facilities and fairgrounds. </w:t>
      </w:r>
      <w:r w:rsidRPr="00377BEC">
        <w:rPr>
          <w:rFonts w:cs="Arial"/>
          <w:b/>
          <w:bCs/>
          <w:shd w:val="clear" w:color="auto" w:fill="FFFFFF"/>
        </w:rPr>
        <w:t>1 point</w:t>
      </w:r>
    </w:p>
    <w:p w14:paraId="50CDFF3F" w14:textId="77777777" w:rsidR="00233AF2" w:rsidRPr="00377BEC" w:rsidRDefault="00233AF2" w:rsidP="00233AF2">
      <w:pPr>
        <w:jc w:val="both"/>
        <w:rPr>
          <w:rFonts w:cs="Arial"/>
          <w:shd w:val="clear" w:color="auto" w:fill="FFFFFF"/>
        </w:rPr>
      </w:pPr>
    </w:p>
    <w:p w14:paraId="09C5E2A4" w14:textId="7CD63C03" w:rsidR="00233AF2" w:rsidRPr="00377BEC" w:rsidRDefault="00233AF2" w:rsidP="00233AF2">
      <w:pPr>
        <w:jc w:val="both"/>
        <w:rPr>
          <w:rFonts w:cs="Arial"/>
          <w:b/>
          <w:bCs/>
          <w:shd w:val="clear" w:color="auto" w:fill="FFFFFF"/>
        </w:rPr>
      </w:pPr>
      <w:r w:rsidRPr="00377BEC">
        <w:rPr>
          <w:rFonts w:cs="Arial"/>
          <w:b/>
          <w:bCs/>
          <w:shd w:val="clear" w:color="auto" w:fill="FFFFFF"/>
        </w:rPr>
        <w:t>Licensed day care center (family projects only)</w:t>
      </w:r>
      <w:r w:rsidRPr="00377BEC">
        <w:rPr>
          <w:rFonts w:cs="Arial"/>
          <w:shd w:val="clear" w:color="auto" w:fill="FFFFFF"/>
        </w:rPr>
        <w:t xml:space="preserve"> Licensed Day Care center means a licensed day care center licensed by the Iowa Department of Human Services and listed on the DHS Child Care Client Portal as a licensed center. This does not include any other type of daycare provider. (https://ccmis.dhs.state.ia.us/clientportal/providersearch.aspx) </w:t>
      </w:r>
      <w:r w:rsidRPr="00377BEC">
        <w:rPr>
          <w:rFonts w:cs="Arial"/>
          <w:b/>
          <w:bCs/>
          <w:shd w:val="clear" w:color="auto" w:fill="FFFFFF"/>
        </w:rPr>
        <w:t>1 point</w:t>
      </w:r>
    </w:p>
    <w:p w14:paraId="07945D63" w14:textId="77777777" w:rsidR="00233AF2" w:rsidRPr="00377BEC" w:rsidRDefault="00233AF2" w:rsidP="00233AF2">
      <w:pPr>
        <w:jc w:val="both"/>
        <w:rPr>
          <w:rFonts w:cs="Arial"/>
          <w:shd w:val="clear" w:color="auto" w:fill="FFFFFF"/>
        </w:rPr>
      </w:pPr>
    </w:p>
    <w:p w14:paraId="61CF4E18" w14:textId="6BADC23E" w:rsidR="00233AF2" w:rsidRPr="00377BEC" w:rsidRDefault="00233AF2" w:rsidP="00233AF2">
      <w:pPr>
        <w:jc w:val="both"/>
        <w:rPr>
          <w:rFonts w:cs="Arial"/>
          <w:b/>
          <w:bCs/>
          <w:shd w:val="clear" w:color="auto" w:fill="FFFFFF"/>
        </w:rPr>
      </w:pPr>
      <w:r w:rsidRPr="00377BEC">
        <w:rPr>
          <w:rFonts w:cs="Arial"/>
          <w:b/>
          <w:bCs/>
          <w:shd w:val="clear" w:color="auto" w:fill="FFFFFF"/>
        </w:rPr>
        <w:t>Pharmacy</w:t>
      </w:r>
      <w:r w:rsidRPr="00377BEC">
        <w:rPr>
          <w:rFonts w:cs="Arial"/>
          <w:shd w:val="clear" w:color="auto" w:fill="FFFFFF"/>
        </w:rPr>
        <w:t xml:space="preserve"> A location where prescription medications are sold. A pharmacy is constantly supervised by a licensed pharmacist. A pharmacy also sells over the counter medication for a variety of medical purposes. </w:t>
      </w:r>
      <w:r w:rsidRPr="00377BEC">
        <w:rPr>
          <w:rFonts w:cs="Arial"/>
          <w:b/>
          <w:bCs/>
          <w:shd w:val="clear" w:color="auto" w:fill="FFFFFF"/>
        </w:rPr>
        <w:t>1 point</w:t>
      </w:r>
    </w:p>
    <w:p w14:paraId="68F3D239" w14:textId="77777777" w:rsidR="00233AF2" w:rsidRPr="00377BEC" w:rsidRDefault="00233AF2" w:rsidP="00233AF2">
      <w:pPr>
        <w:jc w:val="both"/>
        <w:rPr>
          <w:rFonts w:cs="Arial"/>
          <w:shd w:val="clear" w:color="auto" w:fill="FFFFFF"/>
        </w:rPr>
      </w:pPr>
    </w:p>
    <w:p w14:paraId="6CD4B6F0" w14:textId="33CB7929" w:rsidR="00233AF2" w:rsidRPr="00377BEC" w:rsidRDefault="00233AF2" w:rsidP="00233AF2">
      <w:pPr>
        <w:jc w:val="both"/>
        <w:rPr>
          <w:rFonts w:cs="Arial"/>
          <w:b/>
          <w:bCs/>
          <w:shd w:val="clear" w:color="auto" w:fill="FFFFFF"/>
        </w:rPr>
      </w:pPr>
      <w:r w:rsidRPr="00377BEC">
        <w:rPr>
          <w:rFonts w:cs="Arial"/>
          <w:b/>
          <w:bCs/>
          <w:shd w:val="clear" w:color="auto" w:fill="FFFFFF"/>
        </w:rPr>
        <w:t>Community College.</w:t>
      </w:r>
      <w:r w:rsidRPr="00377BEC">
        <w:rPr>
          <w:rFonts w:cs="Arial"/>
          <w:shd w:val="clear" w:color="auto" w:fill="FFFFFF"/>
        </w:rPr>
        <w:t xml:space="preserve">  Accredited two-year schools that provide affordable postsecondary education. In addition, they may offer skilled technical training for students to have adequate preparation for jobs that require higher education or workforce training which they will receive a diploma for successful completion. Includes satellite campuses. </w:t>
      </w:r>
      <w:r w:rsidRPr="00377BEC">
        <w:rPr>
          <w:rFonts w:cs="Arial"/>
          <w:b/>
          <w:bCs/>
          <w:shd w:val="clear" w:color="auto" w:fill="FFFFFF"/>
        </w:rPr>
        <w:t>1 point</w:t>
      </w:r>
    </w:p>
    <w:p w14:paraId="377AF40C" w14:textId="77777777" w:rsidR="00233AF2" w:rsidRPr="00377BEC" w:rsidRDefault="00233AF2" w:rsidP="00233AF2">
      <w:pPr>
        <w:jc w:val="both"/>
        <w:rPr>
          <w:rFonts w:cs="Arial"/>
          <w:shd w:val="clear" w:color="auto" w:fill="FFFFFF"/>
        </w:rPr>
      </w:pPr>
    </w:p>
    <w:p w14:paraId="02F148B4" w14:textId="08418294" w:rsidR="00233AF2" w:rsidRPr="00377BEC" w:rsidRDefault="00233AF2" w:rsidP="00233AF2">
      <w:pPr>
        <w:jc w:val="both"/>
        <w:rPr>
          <w:rFonts w:cs="Arial"/>
          <w:shd w:val="clear" w:color="auto" w:fill="FFFFFF"/>
        </w:rPr>
      </w:pPr>
      <w:r w:rsidRPr="00377BEC">
        <w:rPr>
          <w:rFonts w:cs="Arial"/>
          <w:b/>
          <w:bCs/>
          <w:shd w:val="clear" w:color="auto" w:fill="FFFFFF"/>
        </w:rPr>
        <w:t>Convenien</w:t>
      </w:r>
      <w:r w:rsidRPr="00377BEC">
        <w:rPr>
          <w:rFonts w:cs="Arial"/>
          <w:b/>
          <w:bCs/>
          <w:shd w:val="clear" w:color="auto" w:fill="FFFFFF"/>
        </w:rPr>
        <w:t>ce</w:t>
      </w:r>
      <w:r w:rsidRPr="00377BEC">
        <w:rPr>
          <w:rFonts w:cs="Arial"/>
          <w:b/>
          <w:bCs/>
          <w:shd w:val="clear" w:color="auto" w:fill="FFFFFF"/>
        </w:rPr>
        <w:t xml:space="preserve"> Store</w:t>
      </w:r>
      <w:r w:rsidRPr="00377BEC">
        <w:rPr>
          <w:rFonts w:cs="Arial"/>
          <w:shd w:val="clear" w:color="auto" w:fill="FFFFFF"/>
        </w:rPr>
        <w:t>. A small-sized store that offers a limited range of grocery and other items that people are likely to need or want as a matter of convenience. Convenience stores usually have longer shopping hours.</w:t>
      </w:r>
      <w:r w:rsidRPr="00377BEC">
        <w:rPr>
          <w:rFonts w:cs="Arial"/>
          <w:shd w:val="clear" w:color="auto" w:fill="FFFFFF"/>
        </w:rPr>
        <w:t xml:space="preserve"> </w:t>
      </w:r>
      <w:r w:rsidRPr="00377BEC">
        <w:rPr>
          <w:rFonts w:cs="Arial"/>
          <w:b/>
          <w:bCs/>
          <w:shd w:val="clear" w:color="auto" w:fill="FFFFFF"/>
        </w:rPr>
        <w:t>1 point</w:t>
      </w:r>
      <w:r w:rsidRPr="00377BEC">
        <w:rPr>
          <w:rFonts w:cs="Arial"/>
          <w:shd w:val="clear" w:color="auto" w:fill="FFFFFF"/>
        </w:rPr>
        <w:t xml:space="preserve"> </w:t>
      </w:r>
    </w:p>
    <w:p w14:paraId="7D7EDAC8" w14:textId="77777777" w:rsidR="00233AF2" w:rsidRPr="00377BEC" w:rsidRDefault="00233AF2" w:rsidP="00233AF2">
      <w:pPr>
        <w:jc w:val="both"/>
        <w:rPr>
          <w:rFonts w:cs="Arial"/>
          <w:shd w:val="clear" w:color="auto" w:fill="FFFFFF"/>
        </w:rPr>
      </w:pPr>
    </w:p>
    <w:p w14:paraId="069C301C" w14:textId="77777777" w:rsidR="00233AF2" w:rsidRPr="00377BEC" w:rsidRDefault="00233AF2" w:rsidP="00233AF2">
      <w:pPr>
        <w:jc w:val="both"/>
        <w:rPr>
          <w:rFonts w:cs="Arial"/>
          <w:b/>
          <w:bCs/>
          <w:u w:val="single"/>
          <w:shd w:val="clear" w:color="auto" w:fill="FFFFFF"/>
        </w:rPr>
      </w:pPr>
      <w:r w:rsidRPr="00377BEC">
        <w:rPr>
          <w:rFonts w:cs="Arial"/>
          <w:b/>
          <w:bCs/>
          <w:u w:val="single"/>
          <w:shd w:val="clear" w:color="auto" w:fill="FFFFFF"/>
        </w:rPr>
        <w:t>The following services shall be within walking distance (using Google Maps walking directions) of 0.5 mile or less to get the points associated with each:</w:t>
      </w:r>
    </w:p>
    <w:p w14:paraId="30EE598C" w14:textId="77777777" w:rsidR="00233AF2" w:rsidRPr="00377BEC" w:rsidRDefault="00233AF2" w:rsidP="00233AF2">
      <w:pPr>
        <w:jc w:val="both"/>
        <w:rPr>
          <w:rFonts w:cs="Arial"/>
          <w:shd w:val="clear" w:color="auto" w:fill="FFFFFF"/>
        </w:rPr>
      </w:pPr>
    </w:p>
    <w:p w14:paraId="42EE0C40" w14:textId="768F6588" w:rsidR="00233AF2" w:rsidRPr="00377BEC" w:rsidRDefault="00233AF2" w:rsidP="00233AF2">
      <w:pPr>
        <w:jc w:val="both"/>
        <w:rPr>
          <w:rFonts w:cs="Arial"/>
          <w:b/>
          <w:bCs/>
          <w:shd w:val="clear" w:color="auto" w:fill="FFFFFF"/>
        </w:rPr>
      </w:pPr>
      <w:r w:rsidRPr="00377BEC">
        <w:rPr>
          <w:rFonts w:cs="Arial"/>
          <w:b/>
          <w:bCs/>
          <w:shd w:val="clear" w:color="auto" w:fill="FFFFFF"/>
        </w:rPr>
        <w:t>Public Transportation</w:t>
      </w:r>
      <w:r w:rsidRPr="00377BEC">
        <w:rPr>
          <w:rFonts w:cs="Arial"/>
          <w:shd w:val="clear" w:color="auto" w:fill="FFFFFF"/>
        </w:rPr>
        <w:t xml:space="preserve"> A passenger (transportation) service which is available for use by the general public that has set routes, stops, and time points. This type of transit is provided where no advance reservations are necessary. Service is available to the general public, including persons with disabilities. This does not include Amtrack and multi-state bus companies. </w:t>
      </w:r>
      <w:r w:rsidRPr="00377BEC">
        <w:rPr>
          <w:rFonts w:cs="Arial"/>
          <w:b/>
          <w:bCs/>
          <w:shd w:val="clear" w:color="auto" w:fill="FFFFFF"/>
        </w:rPr>
        <w:t>1 point</w:t>
      </w:r>
    </w:p>
    <w:p w14:paraId="4158DC86" w14:textId="77777777" w:rsidR="00233AF2" w:rsidRPr="00377BEC" w:rsidRDefault="00233AF2" w:rsidP="00233AF2">
      <w:pPr>
        <w:jc w:val="both"/>
        <w:rPr>
          <w:rFonts w:cs="Arial"/>
          <w:shd w:val="clear" w:color="auto" w:fill="FFFFFF"/>
        </w:rPr>
      </w:pPr>
    </w:p>
    <w:p w14:paraId="0910E264" w14:textId="5D5FAD22" w:rsidR="00233AF2" w:rsidRPr="00377BEC" w:rsidRDefault="00233AF2" w:rsidP="00233AF2">
      <w:pPr>
        <w:jc w:val="both"/>
        <w:rPr>
          <w:rFonts w:cs="Arial"/>
          <w:b/>
          <w:bCs/>
          <w:shd w:val="clear" w:color="auto" w:fill="FFFFFF"/>
        </w:rPr>
      </w:pPr>
      <w:r w:rsidRPr="00377BEC">
        <w:rPr>
          <w:rFonts w:cs="Arial"/>
          <w:b/>
          <w:bCs/>
          <w:shd w:val="clear" w:color="auto" w:fill="FFFFFF"/>
        </w:rPr>
        <w:t>Schools.</w:t>
      </w:r>
      <w:r w:rsidRPr="00377BEC">
        <w:rPr>
          <w:rFonts w:cs="Arial"/>
          <w:shd w:val="clear" w:color="auto" w:fill="FFFFFF"/>
        </w:rPr>
        <w:t xml:space="preserve">  An elementary, junior high or high school accredited by the Iowa Department of Education. </w:t>
      </w:r>
      <w:r w:rsidRPr="00377BEC">
        <w:rPr>
          <w:rFonts w:cs="Arial"/>
          <w:b/>
          <w:bCs/>
          <w:shd w:val="clear" w:color="auto" w:fill="FFFFFF"/>
        </w:rPr>
        <w:t>1 point</w:t>
      </w:r>
    </w:p>
    <w:p w14:paraId="2EFECF7C" w14:textId="67C9C468" w:rsidR="000376FF" w:rsidRPr="00377BEC" w:rsidRDefault="000376FF" w:rsidP="00810C08">
      <w:pPr>
        <w:jc w:val="both"/>
        <w:rPr>
          <w:rFonts w:cs="Arial"/>
          <w:shd w:val="clear" w:color="auto" w:fill="FFFFFF"/>
        </w:rPr>
      </w:pPr>
    </w:p>
    <w:p w14:paraId="2F64D01E" w14:textId="39ACCB2A" w:rsidR="00B20CA1" w:rsidRPr="00377BEC" w:rsidRDefault="00B20CA1" w:rsidP="00B20CA1">
      <w:pPr>
        <w:jc w:val="both"/>
        <w:rPr>
          <w:rFonts w:cs="Arial"/>
          <w:b/>
        </w:rPr>
      </w:pPr>
      <w:r w:rsidRPr="00377BEC">
        <w:rPr>
          <w:rFonts w:cs="Arial"/>
          <w:b/>
          <w:u w:val="single"/>
        </w:rPr>
        <w:t xml:space="preserve">Category </w:t>
      </w:r>
      <w:r w:rsidR="00767E14" w:rsidRPr="00377BEC">
        <w:rPr>
          <w:rFonts w:cs="Arial"/>
          <w:b/>
          <w:u w:val="single"/>
        </w:rPr>
        <w:t>1</w:t>
      </w:r>
      <w:r w:rsidR="00810C08" w:rsidRPr="00377BEC">
        <w:rPr>
          <w:rFonts w:cs="Arial"/>
          <w:b/>
          <w:u w:val="single"/>
        </w:rPr>
        <w:t>2</w:t>
      </w:r>
      <w:r w:rsidRPr="00377BEC">
        <w:rPr>
          <w:rFonts w:cs="Arial"/>
          <w:b/>
        </w:rPr>
        <w:t xml:space="preserve"> – IFA Iowa Title Guaranty Certificate (0 or 2 points)</w:t>
      </w:r>
    </w:p>
    <w:p w14:paraId="4990D28F" w14:textId="77777777" w:rsidR="00B20CA1" w:rsidRPr="00377BEC" w:rsidRDefault="00B20CA1" w:rsidP="00B20CA1">
      <w:pPr>
        <w:jc w:val="both"/>
        <w:rPr>
          <w:rFonts w:cs="Arial"/>
        </w:rPr>
      </w:pPr>
      <w:r w:rsidRPr="00377BEC">
        <w:rPr>
          <w:rFonts w:cs="Arial"/>
        </w:rPr>
        <w:t xml:space="preserve">Points will be awarded if the applicant selects on the application that the Ownership Entity shall, at a minimum, obtain a Final Iowa Title Guaranty Certificate with an amount of coverage that is not less than the value of land and pre-existing improvements, if any, combined with the total Hard Construction Costs of the Project.  </w:t>
      </w:r>
    </w:p>
    <w:p w14:paraId="6EF8064C" w14:textId="6680DA79" w:rsidR="006559F3" w:rsidRPr="00202980" w:rsidRDefault="006559F3" w:rsidP="00202980"/>
    <w:sectPr w:rsidR="006559F3" w:rsidRPr="00202980" w:rsidSect="007C258F">
      <w:headerReference w:type="default" r:id="rId9"/>
      <w:footerReference w:type="default" r:id="rId10"/>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6D50"/>
    <w:multiLevelType w:val="singleLevel"/>
    <w:tmpl w:val="0409000B"/>
    <w:lvl w:ilvl="0">
      <w:start w:val="1"/>
      <w:numFmt w:val="bullet"/>
      <w:lvlText w:val=""/>
      <w:lvlJc w:val="left"/>
      <w:pPr>
        <w:ind w:left="720" w:hanging="360"/>
      </w:pPr>
      <w:rPr>
        <w:rFonts w:ascii="Wingdings" w:hAnsi="Wingdings" w:hint="default"/>
      </w:rPr>
    </w:lvl>
  </w:abstractNum>
  <w:abstractNum w:abstractNumId="2" w15:restartNumberingAfterBreak="0">
    <w:nsid w:val="087068F6"/>
    <w:multiLevelType w:val="hybridMultilevel"/>
    <w:tmpl w:val="A21A69AE"/>
    <w:lvl w:ilvl="0" w:tplc="9318A5F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503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B54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1" w15:restartNumberingAfterBreak="0">
    <w:nsid w:val="3BE91EA4"/>
    <w:multiLevelType w:val="singleLevel"/>
    <w:tmpl w:val="0409000B"/>
    <w:lvl w:ilvl="0">
      <w:start w:val="1"/>
      <w:numFmt w:val="bullet"/>
      <w:lvlText w:val=""/>
      <w:lvlJc w:val="left"/>
      <w:pPr>
        <w:ind w:left="720" w:hanging="360"/>
      </w:pPr>
      <w:rPr>
        <w:rFonts w:ascii="Wingdings" w:hAnsi="Wingdings" w:hint="default"/>
      </w:rPr>
    </w:lvl>
  </w:abstractNum>
  <w:abstractNum w:abstractNumId="12" w15:restartNumberingAfterBreak="0">
    <w:nsid w:val="46392D30"/>
    <w:multiLevelType w:val="hybridMultilevel"/>
    <w:tmpl w:val="6906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374098"/>
    <w:multiLevelType w:val="hybridMultilevel"/>
    <w:tmpl w:val="A9EE9B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71A43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2B3E3C"/>
    <w:multiLevelType w:val="hybridMultilevel"/>
    <w:tmpl w:val="08AAA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3E67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D4F3B32"/>
    <w:multiLevelType w:val="hybridMultilevel"/>
    <w:tmpl w:val="71C27C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3106B7"/>
    <w:multiLevelType w:val="hybridMultilevel"/>
    <w:tmpl w:val="96BE5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FE97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6"/>
  </w:num>
  <w:num w:numId="3">
    <w:abstractNumId w:val="15"/>
  </w:num>
  <w:num w:numId="4">
    <w:abstractNumId w:val="23"/>
  </w:num>
  <w:num w:numId="5">
    <w:abstractNumId w:val="10"/>
  </w:num>
  <w:num w:numId="6">
    <w:abstractNumId w:val="7"/>
  </w:num>
  <w:num w:numId="7">
    <w:abstractNumId w:val="0"/>
  </w:num>
  <w:num w:numId="8">
    <w:abstractNumId w:val="20"/>
  </w:num>
  <w:num w:numId="9">
    <w:abstractNumId w:val="8"/>
  </w:num>
  <w:num w:numId="10">
    <w:abstractNumId w:val="17"/>
  </w:num>
  <w:num w:numId="11">
    <w:abstractNumId w:val="3"/>
  </w:num>
  <w:num w:numId="12">
    <w:abstractNumId w:val="5"/>
  </w:num>
  <w:num w:numId="13">
    <w:abstractNumId w:val="24"/>
  </w:num>
  <w:num w:numId="14">
    <w:abstractNumId w:val="16"/>
  </w:num>
  <w:num w:numId="15">
    <w:abstractNumId w:val="1"/>
  </w:num>
  <w:num w:numId="16">
    <w:abstractNumId w:val="21"/>
  </w:num>
  <w:num w:numId="17">
    <w:abstractNumId w:val="6"/>
  </w:num>
  <w:num w:numId="18">
    <w:abstractNumId w:val="9"/>
  </w:num>
  <w:num w:numId="19">
    <w:abstractNumId w:val="27"/>
  </w:num>
  <w:num w:numId="20">
    <w:abstractNumId w:val="18"/>
  </w:num>
  <w:num w:numId="21">
    <w:abstractNumId w:val="14"/>
  </w:num>
  <w:num w:numId="22">
    <w:abstractNumId w:val="19"/>
  </w:num>
  <w:num w:numId="23">
    <w:abstractNumId w:val="13"/>
  </w:num>
  <w:num w:numId="24">
    <w:abstractNumId w:val="25"/>
  </w:num>
  <w:num w:numId="25">
    <w:abstractNumId w:val="11"/>
  </w:num>
  <w:num w:numId="26">
    <w:abstractNumId w:val="2"/>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376FF"/>
    <w:rsid w:val="000418B9"/>
    <w:rsid w:val="000970B6"/>
    <w:rsid w:val="00176488"/>
    <w:rsid w:val="00182802"/>
    <w:rsid w:val="00194725"/>
    <w:rsid w:val="001B4359"/>
    <w:rsid w:val="001E128E"/>
    <w:rsid w:val="00202980"/>
    <w:rsid w:val="00222545"/>
    <w:rsid w:val="00223A7E"/>
    <w:rsid w:val="00233AF2"/>
    <w:rsid w:val="0037006B"/>
    <w:rsid w:val="00377BEC"/>
    <w:rsid w:val="004754CB"/>
    <w:rsid w:val="004A7274"/>
    <w:rsid w:val="004F3E8B"/>
    <w:rsid w:val="00513B7F"/>
    <w:rsid w:val="0052204C"/>
    <w:rsid w:val="0052459E"/>
    <w:rsid w:val="0057348E"/>
    <w:rsid w:val="005A3D46"/>
    <w:rsid w:val="005B3C9E"/>
    <w:rsid w:val="006559F3"/>
    <w:rsid w:val="00672284"/>
    <w:rsid w:val="006744AA"/>
    <w:rsid w:val="00685169"/>
    <w:rsid w:val="006B5C46"/>
    <w:rsid w:val="006B7800"/>
    <w:rsid w:val="006C7DC1"/>
    <w:rsid w:val="007032CC"/>
    <w:rsid w:val="00717AEB"/>
    <w:rsid w:val="00741948"/>
    <w:rsid w:val="00742202"/>
    <w:rsid w:val="00744BD8"/>
    <w:rsid w:val="00750AE5"/>
    <w:rsid w:val="00767E14"/>
    <w:rsid w:val="00773F53"/>
    <w:rsid w:val="0079249E"/>
    <w:rsid w:val="007B2A46"/>
    <w:rsid w:val="007C258F"/>
    <w:rsid w:val="007F3946"/>
    <w:rsid w:val="00810C08"/>
    <w:rsid w:val="008258FC"/>
    <w:rsid w:val="00837E22"/>
    <w:rsid w:val="00842A98"/>
    <w:rsid w:val="008E5523"/>
    <w:rsid w:val="009018D3"/>
    <w:rsid w:val="00926CC7"/>
    <w:rsid w:val="00951018"/>
    <w:rsid w:val="009804D8"/>
    <w:rsid w:val="00994692"/>
    <w:rsid w:val="009B341C"/>
    <w:rsid w:val="009D0009"/>
    <w:rsid w:val="00A10C58"/>
    <w:rsid w:val="00A169B6"/>
    <w:rsid w:val="00A76BF8"/>
    <w:rsid w:val="00A919F3"/>
    <w:rsid w:val="00AA1418"/>
    <w:rsid w:val="00B05F9C"/>
    <w:rsid w:val="00B20CA1"/>
    <w:rsid w:val="00B46140"/>
    <w:rsid w:val="00B54442"/>
    <w:rsid w:val="00BC2D6A"/>
    <w:rsid w:val="00C45B6A"/>
    <w:rsid w:val="00CC1D75"/>
    <w:rsid w:val="00CD6918"/>
    <w:rsid w:val="00CE1634"/>
    <w:rsid w:val="00D00595"/>
    <w:rsid w:val="00D021BF"/>
    <w:rsid w:val="00D41F51"/>
    <w:rsid w:val="00D535EE"/>
    <w:rsid w:val="00D744DE"/>
    <w:rsid w:val="00DB0B0E"/>
    <w:rsid w:val="00E24FC9"/>
    <w:rsid w:val="00E51221"/>
    <w:rsid w:val="00E67744"/>
    <w:rsid w:val="00E90914"/>
    <w:rsid w:val="00E96A92"/>
    <w:rsid w:val="00F82995"/>
    <w:rsid w:val="00F909B7"/>
    <w:rsid w:val="00FA0AAB"/>
    <w:rsid w:val="00FE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paragraph" w:styleId="Heading2">
    <w:name w:val="heading 2"/>
    <w:basedOn w:val="Normal"/>
    <w:next w:val="Normal"/>
    <w:link w:val="Heading2Char"/>
    <w:qFormat/>
    <w:rsid w:val="00837E22"/>
    <w:pPr>
      <w:keepNext/>
      <w:widowControl w:val="0"/>
      <w:spacing w:before="240" w:after="60"/>
      <w:outlineLvl w:val="1"/>
    </w:pPr>
    <w:rPr>
      <w:b/>
      <w:i/>
      <w:snapToGrid w:val="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3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customStyle="1" w:styleId="Heading2Char">
    <w:name w:val="Heading 2 Char"/>
    <w:basedOn w:val="DefaultParagraphFont"/>
    <w:link w:val="Heading2"/>
    <w:rsid w:val="00837E22"/>
    <w:rPr>
      <w:rFonts w:ascii="Arial" w:eastAsia="Times New Roman" w:hAnsi="Arial" w:cs="Times New Roman"/>
      <w:b/>
      <w:i/>
      <w:snapToGrid w:val="0"/>
      <w:szCs w:val="20"/>
    </w:rPr>
  </w:style>
  <w:style w:type="table" w:customStyle="1" w:styleId="TableGrid1">
    <w:name w:val="Table Grid1"/>
    <w:basedOn w:val="TableNormal"/>
    <w:next w:val="TableGrid"/>
    <w:uiPriority w:val="59"/>
    <w:rsid w:val="00842A98"/>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10C08"/>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810C08"/>
    <w:rPr>
      <w:rFonts w:eastAsiaTheme="minorEastAs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baseiowa.gov/resources/commun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12</TotalTime>
  <Pages>3</Pages>
  <Words>1305</Words>
  <Characters>7168</Characters>
  <Application>Microsoft Office Word</Application>
  <DocSecurity>0</DocSecurity>
  <Lines>231</Lines>
  <Paragraphs>143</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3</cp:revision>
  <dcterms:created xsi:type="dcterms:W3CDTF">2021-02-19T01:25:00Z</dcterms:created>
  <dcterms:modified xsi:type="dcterms:W3CDTF">2021-02-19T01:31:00Z</dcterms:modified>
</cp:coreProperties>
</file>